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spacing w:line="596" w:lineRule="exact"/>
        <w:ind w:firstLine="0" w:firstLineChars="0"/>
        <w:rPr>
          <w:rFonts w:hint="eastAsia" w:ascii="方正黑体_GBK" w:hAnsi="方正黑体_GBK" w:eastAsia="方正黑体_GBK"/>
          <w:sz w:val="32"/>
          <w:szCs w:val="32"/>
        </w:rPr>
      </w:pPr>
      <w:bookmarkStart w:id="0" w:name="_GoBack"/>
      <w:r>
        <w:rPr>
          <w:rFonts w:hint="eastAsia" w:ascii="方正黑体_GBK" w:hAnsi="方正黑体_GBK" w:eastAsia="方正黑体_GBK"/>
          <w:sz w:val="32"/>
          <w:szCs w:val="32"/>
        </w:rPr>
        <w:t>附件4</w:t>
      </w:r>
    </w:p>
    <w:p>
      <w:pPr>
        <w:rPr>
          <w:rFonts w:hint="eastAsia" w:ascii="方正黑体_GBK" w:hAnsi="方正黑体_GBK" w:eastAsia="方正黑体_GBK"/>
          <w:sz w:val="32"/>
          <w:szCs w:val="32"/>
        </w:rPr>
      </w:pPr>
      <w:r>
        <w:rPr>
          <w:rFonts w:hint="eastAsia" w:ascii="方正黑体_GBK" w:hAnsi="方正黑体_GBK" w:eastAsia="方正黑体_GBK"/>
          <w:sz w:val="32"/>
          <w:szCs w:val="32"/>
        </w:rPr>
        <w:t xml:space="preserve"> </w:t>
      </w:r>
    </w:p>
    <w:p>
      <w:pPr>
        <w:pStyle w:val="2"/>
        <w:autoSpaceDE w:val="0"/>
        <w:spacing w:after="156" w:afterLines="50" w:line="600" w:lineRule="exact"/>
        <w:ind w:firstLine="0" w:firstLineChars="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广西壮族自治区国防动员（人民防空）行政检查裁量基准（试行）</w:t>
      </w:r>
    </w:p>
    <w:bookmarkEnd w:id="0"/>
    <w:tbl>
      <w:tblPr>
        <w:tblStyle w:val="4"/>
        <w:tblW w:w="13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988"/>
        <w:gridCol w:w="858"/>
        <w:gridCol w:w="3519"/>
        <w:gridCol w:w="1276"/>
        <w:gridCol w:w="3827"/>
        <w:gridCol w:w="1134"/>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435" w:type="dxa"/>
            <w:tcBorders>
              <w:top w:val="single" w:color="000000" w:sz="4" w:space="0"/>
              <w:left w:val="single" w:color="auto"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序</w:t>
            </w:r>
          </w:p>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号</w:t>
            </w:r>
          </w:p>
        </w:tc>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事项</w:t>
            </w:r>
          </w:p>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名称</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w:t>
            </w:r>
          </w:p>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主体</w:t>
            </w:r>
          </w:p>
        </w:tc>
        <w:tc>
          <w:tcPr>
            <w:tcW w:w="35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检查依据</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检查范围</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检查事项</w:t>
            </w: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检查方式</w:t>
            </w: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检查比例、</w:t>
            </w:r>
          </w:p>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4" w:hRule="atLeast"/>
          <w:jc w:val="center"/>
        </w:trPr>
        <w:tc>
          <w:tcPr>
            <w:tcW w:w="435" w:type="dxa"/>
            <w:tcBorders>
              <w:top w:val="single" w:color="000000" w:sz="4" w:space="0"/>
              <w:left w:val="single" w:color="auto"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1</w:t>
            </w:r>
          </w:p>
        </w:tc>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对新建民用建筑修建防空地下室的监督检查</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自治区国防动员办公室（人民防空办公室）</w:t>
            </w:r>
          </w:p>
        </w:tc>
        <w:tc>
          <w:tcPr>
            <w:tcW w:w="35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spacing w:val="-1"/>
                <w:kern w:val="0"/>
                <w:sz w:val="18"/>
                <w:szCs w:val="18"/>
              </w:rPr>
            </w:pPr>
            <w:r>
              <w:rPr>
                <w:rFonts w:hint="eastAsia" w:ascii="仿宋" w:hAnsi="仿宋" w:eastAsia="仿宋" w:cs="宋体"/>
                <w:spacing w:val="-1"/>
                <w:kern w:val="0"/>
                <w:sz w:val="18"/>
                <w:szCs w:val="18"/>
              </w:rPr>
              <w:t>1.《中华人民共和国人民防空法》第二十二条　城市新建民用建筑，按照国家有关规定修建战时可用于防空的地下室。</w:t>
            </w:r>
          </w:p>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spacing w:val="-1"/>
                <w:kern w:val="0"/>
                <w:sz w:val="18"/>
                <w:szCs w:val="18"/>
              </w:rPr>
              <w:t>2.《广西壮族自治区实施〈中华人民共和国人民防空法〉办法》第十五条　城市规划区内新建民用建筑，各类开发区、工业园区、保税区、重要经济目标区和高校新校区新建民用建筑，应当按照国家有关要求和标准修建战时可用于防空的地下室（以下简称防空地下室）。第十七条　依法应当结合民用建筑修建的防空地下室，建设单位应当将其与主体工程同步修建，其建设规模和投资规模纳入基本建设计划。第二十八条　县级以上人民政府人民防空主管部门应当对人民防空工程的维护进行监督检查。</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本自治区范围内的建设项目</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spacing w:val="-1"/>
                <w:kern w:val="0"/>
                <w:sz w:val="18"/>
                <w:szCs w:val="18"/>
              </w:rPr>
            </w:pPr>
            <w:r>
              <w:rPr>
                <w:rFonts w:hint="eastAsia" w:ascii="仿宋" w:hAnsi="仿宋" w:eastAsia="仿宋" w:cs="宋体"/>
                <w:spacing w:val="-1"/>
                <w:kern w:val="0"/>
                <w:sz w:val="18"/>
                <w:szCs w:val="18"/>
              </w:rPr>
              <w:t>1.材料审核检查：主要检查各阶段报建手续是否齐全有效；</w:t>
            </w:r>
          </w:p>
          <w:p>
            <w:pPr>
              <w:autoSpaceDE w:val="0"/>
              <w:autoSpaceDN w:val="0"/>
              <w:spacing w:line="260" w:lineRule="exact"/>
              <w:ind w:left="105" w:leftChars="50" w:right="105" w:rightChars="50"/>
              <w:rPr>
                <w:rFonts w:ascii="仿宋" w:hAnsi="仿宋" w:eastAsia="仿宋" w:cs="宋体"/>
                <w:spacing w:val="-1"/>
                <w:kern w:val="0"/>
                <w:sz w:val="18"/>
                <w:szCs w:val="18"/>
              </w:rPr>
            </w:pPr>
            <w:r>
              <w:rPr>
                <w:rFonts w:hint="eastAsia" w:ascii="仿宋" w:hAnsi="仿宋" w:eastAsia="仿宋" w:cs="宋体"/>
                <w:spacing w:val="-1"/>
                <w:kern w:val="0"/>
                <w:sz w:val="18"/>
                <w:szCs w:val="18"/>
              </w:rPr>
              <w:t>2.工程实体检查：主要包括防空地下室建设规模、防护功能、防护等级等条件是否按照人防主管部门核发的设计条件进行施工建设；工程主体建筑施工质量是否达到《防空地下室施工及验收标准》，附属设备设施满足《防护设备生产及安装质量验收标准》等国家标准规范要求。</w:t>
            </w: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制定年度监督检查计划，通过“双随机、一公开”、专项检查等多种方式进行。</w:t>
            </w: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自治区国防动员办公室每年组织一次以上现场监督检查，</w:t>
            </w:r>
            <w:r>
              <w:rPr>
                <w:rFonts w:hint="eastAsia" w:ascii="仿宋" w:hAnsi="仿宋" w:eastAsia="仿宋" w:cs="宋体"/>
                <w:spacing w:val="4"/>
                <w:kern w:val="0"/>
                <w:sz w:val="18"/>
                <w:szCs w:val="18"/>
              </w:rPr>
              <w:t>抽查比例不</w:t>
            </w:r>
            <w:r>
              <w:rPr>
                <w:rFonts w:hint="eastAsia" w:ascii="仿宋" w:hAnsi="仿宋" w:eastAsia="仿宋" w:cs="宋体"/>
                <w:spacing w:val="-12"/>
                <w:kern w:val="0"/>
                <w:sz w:val="18"/>
                <w:szCs w:val="18"/>
              </w:rPr>
              <w:t>低于</w:t>
            </w:r>
            <w:r>
              <w:rPr>
                <w:rFonts w:hint="eastAsia" w:ascii="仿宋" w:hAnsi="仿宋" w:eastAsia="仿宋" w:cs="宋体"/>
                <w:kern w:val="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4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序</w:t>
            </w:r>
          </w:p>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号</w:t>
            </w:r>
          </w:p>
        </w:tc>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事项</w:t>
            </w:r>
          </w:p>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名称</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w:t>
            </w:r>
          </w:p>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主体</w:t>
            </w:r>
          </w:p>
        </w:tc>
        <w:tc>
          <w:tcPr>
            <w:tcW w:w="35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检查依据</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检查范围</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检查事项</w:t>
            </w: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检查方式</w:t>
            </w: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检查比例、</w:t>
            </w:r>
          </w:p>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4" w:hRule="atLeast"/>
          <w:jc w:val="center"/>
        </w:trPr>
        <w:tc>
          <w:tcPr>
            <w:tcW w:w="4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城市地下空间开发兼顾人民防空要求工程项目的监督检查</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自治区国防动员办公室（人民防空办公室）</w:t>
            </w:r>
          </w:p>
        </w:tc>
        <w:tc>
          <w:tcPr>
            <w:tcW w:w="35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2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1.《中华人民共和国人民防空法》第十四条　城市的地下交通干线以及其他地下工程的建设，应当兼顾人民防空需要。第十七条　人民防空主管部门应当依照规定对城市和经济目标的人民防空建设进行监督检查。被检查单位应当如实提供情况和必要的资料。</w:t>
            </w:r>
          </w:p>
          <w:p>
            <w:pPr>
              <w:autoSpaceDE w:val="0"/>
              <w:autoSpaceDN w:val="0"/>
              <w:spacing w:line="22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2.《广西壮族自治区实施〈中华人民共和国人民防空法〉办法》第十三条　人民防空主管部门负责城市地下空间开发利用中人民防空防护等事项的管理和监督检查，协同发展改革、国土资源、住房城乡建设（规划）等部门做好城市地下空间的规划、开发利用和审批工作。</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本自治区范围内的建设项目</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检查地下空间开发利用工程中兼顾人防需要的部分如防护功能、防护等级等条件是否符合人民防空的要求，附属设备设施是否满足《防护设备生产及安装质量验收标准》等国家标准规范要求。</w:t>
            </w: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现场检查</w:t>
            </w: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自治区国防动员办公室根据工作实际，自行确定抽查比例、频次。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jc w:val="center"/>
        </w:trPr>
        <w:tc>
          <w:tcPr>
            <w:tcW w:w="4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3</w:t>
            </w:r>
          </w:p>
        </w:tc>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人民防空工程质量监督</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自治区国防动员办公室（人民防空办公室）</w:t>
            </w:r>
          </w:p>
        </w:tc>
        <w:tc>
          <w:tcPr>
            <w:tcW w:w="3519" w:type="dxa"/>
            <w:tcBorders>
              <w:top w:val="single" w:color="000000" w:sz="4" w:space="0"/>
              <w:left w:val="single" w:color="000000" w:sz="4" w:space="0"/>
              <w:bottom w:val="single" w:color="000000" w:sz="4" w:space="0"/>
              <w:right w:val="single" w:color="000000" w:sz="4" w:space="0"/>
            </w:tcBorders>
          </w:tcPr>
          <w:p>
            <w:pPr>
              <w:autoSpaceDE w:val="0"/>
              <w:autoSpaceDN w:val="0"/>
              <w:spacing w:line="22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1.《广西壮族自治区实施〈中华人民共和国人民防空法〉办法》第十五条：人民防空主管部门负责组织修建的人民防空指挥工程、公用的人员掩蔽工程和疏散干道工程，由人民防空主管部门按照国家和自治区有关规定办理项目立项手续，并负责设计审查、质量监督、定额管理和竣工验收。第二十四条　防空地下室所需的防护设备应当符合国家规定的标准，并在工程施工中同步安装到位。</w:t>
            </w:r>
          </w:p>
          <w:p>
            <w:pPr>
              <w:autoSpaceDE w:val="0"/>
              <w:autoSpaceDN w:val="0"/>
              <w:spacing w:line="220" w:lineRule="exact"/>
              <w:ind w:left="105" w:leftChars="50" w:right="105" w:rightChars="50"/>
              <w:rPr>
                <w:rFonts w:hint="eastAsia" w:ascii="仿宋" w:hAnsi="仿宋" w:eastAsia="仿宋" w:cs="宋体"/>
                <w:kern w:val="0"/>
                <w:sz w:val="18"/>
                <w:szCs w:val="18"/>
              </w:rPr>
            </w:pPr>
            <w:r>
              <w:rPr>
                <w:rFonts w:hint="eastAsia" w:ascii="仿宋" w:hAnsi="仿宋" w:eastAsia="仿宋" w:cs="宋体"/>
                <w:kern w:val="0"/>
                <w:sz w:val="18"/>
                <w:szCs w:val="18"/>
              </w:rPr>
              <w:t>2.《广西壮族自治区人民防空工程建设与维护管理办法》第十二条：人民防空工程防护功能的质量监督管理由人民防空主管部门负责，人民防空主管部门可以委托具有相应资质的工程质量监督机构具体实施。</w:t>
            </w:r>
          </w:p>
          <w:p>
            <w:pPr>
              <w:autoSpaceDE w:val="0"/>
              <w:autoSpaceDN w:val="0"/>
              <w:spacing w:line="22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人民防空工程建设单位应当在领取建设工程施工许可证或者办理开工手续前，依法办理人民防空工程质量监督手续，接受工程质量监督检查。</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本自治区范围内的建设项目</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对在建人防工程的施工质量进行监督检查，检查内容包括工程主体施工质量，防护设备生产和安装质量，参建各单位资质等级，现场各管理体系、制度以及工程隐蔽记录、原材料合格证等内业资料。</w:t>
            </w:r>
          </w:p>
          <w:p>
            <w:pPr>
              <w:autoSpaceDE w:val="0"/>
              <w:autoSpaceDN w:val="0"/>
              <w:spacing w:line="260" w:lineRule="exact"/>
              <w:ind w:left="105" w:leftChars="50" w:right="105" w:rightChars="50"/>
              <w:rPr>
                <w:rFonts w:ascii="仿宋" w:hAnsi="仿宋" w:eastAsia="仿宋" w:cs="宋体"/>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制定年度监督检查计划，通过“双随机、一公开”、专项检查等多种方式进行。</w:t>
            </w: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自治区国防动员办公室每年组织一次以上现场监督检查，抽查比例不低于20%。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4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序</w:t>
            </w:r>
          </w:p>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号</w:t>
            </w:r>
          </w:p>
        </w:tc>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事项</w:t>
            </w:r>
          </w:p>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名称</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w:t>
            </w:r>
          </w:p>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主体</w:t>
            </w:r>
          </w:p>
        </w:tc>
        <w:tc>
          <w:tcPr>
            <w:tcW w:w="35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检查依据</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检查范围</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检查事项</w:t>
            </w: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检查方式</w:t>
            </w: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04" w:lineRule="exact"/>
              <w:ind w:left="105" w:leftChars="50" w:right="105" w:rightChars="50"/>
              <w:jc w:val="center"/>
              <w:rPr>
                <w:rFonts w:ascii="黑体" w:hAnsi="黑体" w:eastAsia="黑体" w:cs="方正黑体简体"/>
                <w:kern w:val="0"/>
                <w:sz w:val="18"/>
                <w:szCs w:val="18"/>
              </w:rPr>
            </w:pPr>
            <w:r>
              <w:rPr>
                <w:rFonts w:hint="eastAsia" w:ascii="黑体" w:hAnsi="黑体" w:eastAsia="黑体" w:cs="方正黑体简体"/>
                <w:kern w:val="0"/>
                <w:sz w:val="18"/>
                <w:szCs w:val="18"/>
              </w:rPr>
              <w:t>检查比例、</w:t>
            </w:r>
          </w:p>
          <w:p>
            <w:pPr>
              <w:autoSpaceDE w:val="0"/>
              <w:autoSpaceDN w:val="0"/>
              <w:spacing w:line="204" w:lineRule="exact"/>
              <w:ind w:left="105" w:leftChars="50" w:right="105" w:rightChars="50"/>
              <w:jc w:val="center"/>
              <w:rPr>
                <w:rFonts w:ascii="仿宋" w:hAnsi="仿宋" w:eastAsia="仿宋" w:cs="宋体"/>
                <w:kern w:val="0"/>
                <w:sz w:val="18"/>
                <w:szCs w:val="18"/>
              </w:rPr>
            </w:pPr>
            <w:r>
              <w:rPr>
                <w:rFonts w:hint="eastAsia" w:ascii="黑体" w:hAnsi="黑体" w:eastAsia="黑体" w:cs="方正黑体简体"/>
                <w:kern w:val="0"/>
                <w:sz w:val="18"/>
                <w:szCs w:val="18"/>
              </w:rPr>
              <w:t>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9" w:hRule="atLeast"/>
          <w:jc w:val="center"/>
        </w:trPr>
        <w:tc>
          <w:tcPr>
            <w:tcW w:w="4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群众防空组织整组、训练的监督</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自治区国防动员办公室（人民防空办公室）</w:t>
            </w:r>
          </w:p>
        </w:tc>
        <w:tc>
          <w:tcPr>
            <w:tcW w:w="3519" w:type="dxa"/>
            <w:tcBorders>
              <w:top w:val="single" w:color="000000" w:sz="4" w:space="0"/>
              <w:left w:val="single" w:color="000000" w:sz="4" w:space="0"/>
              <w:bottom w:val="single" w:color="000000" w:sz="4" w:space="0"/>
              <w:right w:val="single" w:color="000000" w:sz="4" w:space="0"/>
            </w:tcBorders>
          </w:tcPr>
          <w:p>
            <w:pPr>
              <w:autoSpaceDE w:val="0"/>
              <w:autoSpaceDN w:val="0"/>
              <w:spacing w:line="19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1.《中华人民共和国人民防空法》第四十一条：县级以上地方各级人民政府应当根据人民防空的需要，组织有关部门建立群众防空组织。群众防空组织战时担负抢险抢修、医疗救护、防火灭火、防疫灭菌、消毒和消除沾染、保障通信联络、抢救人员和抢运物资、维护社会治安等任务，平时应当协助防汛、防震等部门担负抢险救灾任务。第四十四条：群众防空组织应当根据人民防空主管部门制定的训练大纲和训练计划进行专业训练。</w:t>
            </w:r>
          </w:p>
          <w:p>
            <w:pPr>
              <w:autoSpaceDE w:val="0"/>
              <w:autoSpaceDN w:val="0"/>
              <w:spacing w:line="19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2.《广西壮族自治区实施〈中华人民共和国人民防空法〉办法》第三十八条：群众防空组织的组建方案，由县级以上人民政府人民防空主管部门编制，报同级人民政府和军事机关批准，由各有关单位组织实施。 群众防空组织的训练，由人民防空主管部门和组建单位制定训练计划，由各组建单位组织实施。训练所需装备、器材和经费保障办法按照国家和自治区人民政府有关规定执行。</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本自治区范围内群众防空组织的组建单位</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检查专业队整组情况及经费落实情况，组建单位是否制定训练计划，是否按计划开展整组、训练，相关部门和单位是否参加人民防空训练和演习，指导、检查、考核、评估训练工作。</w:t>
            </w:r>
          </w:p>
          <w:p>
            <w:pPr>
              <w:autoSpaceDE w:val="0"/>
              <w:autoSpaceDN w:val="0"/>
              <w:spacing w:line="260" w:lineRule="exact"/>
              <w:ind w:left="105" w:leftChars="50" w:right="105" w:rightChars="50"/>
              <w:rPr>
                <w:rFonts w:ascii="仿宋" w:hAnsi="仿宋" w:eastAsia="仿宋" w:cs="宋体"/>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现场检查</w:t>
            </w: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自治区国防动员办公室根据工作实际，自行确定抽查比例、频次。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3" w:hRule="atLeast"/>
          <w:jc w:val="center"/>
        </w:trPr>
        <w:tc>
          <w:tcPr>
            <w:tcW w:w="4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9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人民防空宣传教育的监督检查</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自治区国防动员办公室（人民防空办公室）</w:t>
            </w:r>
          </w:p>
        </w:tc>
        <w:tc>
          <w:tcPr>
            <w:tcW w:w="3519" w:type="dxa"/>
            <w:tcBorders>
              <w:top w:val="single" w:color="000000" w:sz="4" w:space="0"/>
              <w:left w:val="single" w:color="000000" w:sz="4" w:space="0"/>
              <w:bottom w:val="single" w:color="000000" w:sz="4" w:space="0"/>
              <w:right w:val="single" w:color="000000" w:sz="4" w:space="0"/>
            </w:tcBorders>
          </w:tcPr>
          <w:p>
            <w:pPr>
              <w:autoSpaceDE w:val="0"/>
              <w:autoSpaceDN w:val="0"/>
              <w:spacing w:line="19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1.</w:t>
            </w:r>
            <w:r>
              <w:rPr>
                <w:rFonts w:hint="eastAsia" w:ascii="宋体" w:hAnsi="宋体"/>
                <w:spacing w:val="-1"/>
                <w:kern w:val="0"/>
                <w:sz w:val="11"/>
                <w:szCs w:val="11"/>
              </w:rPr>
              <w:t xml:space="preserve"> </w:t>
            </w:r>
            <w:r>
              <w:rPr>
                <w:rFonts w:hint="eastAsia" w:ascii="仿宋" w:hAnsi="仿宋" w:eastAsia="仿宋" w:cs="宋体"/>
                <w:kern w:val="0"/>
                <w:sz w:val="18"/>
                <w:szCs w:val="18"/>
              </w:rPr>
              <w:t>《中华人民共和国人民防空法》第四十五条：国家开展人民防空教育，使公民增强国防观念，掌握人民防空的基本知识和技能。</w:t>
            </w:r>
          </w:p>
          <w:p>
            <w:pPr>
              <w:autoSpaceDE w:val="0"/>
              <w:autoSpaceDN w:val="0"/>
              <w:spacing w:line="19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2.《广西壮族自治区实施〈中华人民共和国人民防空法〉办法》第三十九条　县级以上人民政府应当将人民防空宣传教育纳入国防宣传教育、普法宣传教育、社会公共安全宣传教育计划，采取多种形式开展人民防空宣传教育，将人民防空教育与防灾救灾和应对其他突发事件宣传教育相结合。自治区人民防空主管部门应当按照国家人民防空教育计划和教育内容，组织编写教材。在校学生的人民防空教育列入国防教育课程，由教育主管部门和人民防空主管部门共同组织实施并进行监督检查。国家机关、社会团体和企业事业组织应当结合本地区实际，依法组织实施人民防空教育，并接受人民防空主管部门的指导。</w:t>
            </w:r>
          </w:p>
        </w:tc>
        <w:tc>
          <w:tcPr>
            <w:tcW w:w="12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本自治区范围内的学校</w:t>
            </w:r>
          </w:p>
        </w:tc>
        <w:tc>
          <w:tcPr>
            <w:tcW w:w="3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检查学校是否将人防教育纳入教学内容，查看学校是否按照要求开展人防教育；检查学校是否有专（兼）职人防教师，查看人防教师花名册、教材教案、教学记录等。</w:t>
            </w: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现场检查</w:t>
            </w: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60" w:lineRule="exact"/>
              <w:ind w:left="105" w:leftChars="50" w:right="105" w:rightChars="50"/>
              <w:rPr>
                <w:rFonts w:ascii="仿宋" w:hAnsi="仿宋" w:eastAsia="仿宋" w:cs="宋体"/>
                <w:kern w:val="0"/>
                <w:sz w:val="18"/>
                <w:szCs w:val="18"/>
              </w:rPr>
            </w:pPr>
            <w:r>
              <w:rPr>
                <w:rFonts w:hint="eastAsia" w:ascii="仿宋" w:hAnsi="仿宋" w:eastAsia="仿宋" w:cs="宋体"/>
                <w:kern w:val="0"/>
                <w:sz w:val="18"/>
                <w:szCs w:val="18"/>
              </w:rPr>
              <w:t>自治区国防动员办公室根据工作实际，自行确定抽查比例、频次。</w:t>
            </w:r>
          </w:p>
        </w:tc>
      </w:tr>
    </w:tbl>
    <w:p>
      <w:pPr>
        <w:widowControl/>
        <w:jc w:val="left"/>
        <w:rPr>
          <w:rFonts w:ascii="宋体" w:hAnsi="宋体"/>
        </w:rPr>
        <w:sectPr>
          <w:pgSz w:w="16838" w:h="11906" w:orient="landscape"/>
          <w:pgMar w:top="1531" w:right="1928" w:bottom="1531" w:left="1712" w:header="851" w:footer="1440" w:gutter="0"/>
          <w:cols w:space="720" w:num="1"/>
          <w:docGrid w:type="lines" w:linePitch="312" w:charSpace="0"/>
        </w:sectPr>
      </w:pPr>
    </w:p>
    <w:p>
      <w:pPr>
        <w:pStyle w:val="2"/>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82016" w:usb3="00000000" w:csb0="00040001" w:csb1="00000000"/>
  </w:font>
  <w:font w:name="方正黑体简体">
    <w:altName w:val="微软雅黑"/>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87015F"/>
    <w:rsid w:val="004714E7"/>
    <w:rsid w:val="00827367"/>
    <w:rsid w:val="0087015F"/>
    <w:rsid w:val="00AE20EA"/>
    <w:rsid w:val="29506857"/>
    <w:rsid w:val="40360E64"/>
    <w:rsid w:val="4B955A8D"/>
    <w:rsid w:val="6EC1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nhideWhenUsed/>
    <w:uiPriority w:val="99"/>
    <w:pPr>
      <w:ind w:firstLine="420" w:firstLineChars="200"/>
    </w:pPr>
  </w:style>
  <w:style w:type="paragraph" w:styleId="3">
    <w:name w:val="Balloon Text"/>
    <w:basedOn w:val="1"/>
    <w:link w:val="7"/>
    <w:semiHidden/>
    <w:unhideWhenUsed/>
    <w:qFormat/>
    <w:uiPriority w:val="99"/>
    <w:rPr>
      <w:sz w:val="18"/>
      <w:szCs w:val="18"/>
    </w:rPr>
  </w:style>
  <w:style w:type="table" w:styleId="5">
    <w:name w:val="Table Grid"/>
    <w:basedOn w:val="4"/>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批注框文本 Char"/>
    <w:basedOn w:val="6"/>
    <w:link w:val="3"/>
    <w:semiHidden/>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1617</Words>
  <Characters>9221</Characters>
  <Lines>76</Lines>
  <Paragraphs>21</Paragraphs>
  <TotalTime>4</TotalTime>
  <ScaleCrop>false</ScaleCrop>
  <LinksUpToDate>false</LinksUpToDate>
  <CharactersWithSpaces>10817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2023-11-07T03:04:00Z</dcterms:created>
  <dc:creator>rfbhfb</dc:creator>
  <cp:lastModifiedBy>大虫的wps</cp:lastModifiedBy>
  <cp:lastPrinted>2023-11-07T03:08:00Z</cp:lastPrinted>
  <dcterms:modified xsi:type="dcterms:W3CDTF">2023-11-08T08:50:49Z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07A9E1E2DF094E2FA3598CBEC6711ABC_13</vt:lpwstr>
  </property>
</Properties>
</file>