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line="596" w:lineRule="exact"/>
        <w:ind w:firstLine="0" w:firstLineChars="0"/>
        <w:rPr>
          <w:rFonts w:ascii="方正黑体_GBK" w:hAnsi="方正黑体_GBK" w:eastAsia="方正黑体_GBK"/>
          <w:sz w:val="32"/>
          <w:szCs w:val="32"/>
        </w:rPr>
      </w:pPr>
      <w:bookmarkStart w:id="0" w:name="_GoBack"/>
      <w:r>
        <w:rPr>
          <w:rFonts w:hint="eastAsia" w:ascii="方正黑体_GBK" w:hAnsi="方正黑体_GBK" w:eastAsia="方正黑体_GBK"/>
          <w:sz w:val="32"/>
          <w:szCs w:val="32"/>
        </w:rPr>
        <w:t>附件2</w:t>
      </w:r>
    </w:p>
    <w:p>
      <w:pPr>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p>
    <w:p>
      <w:pPr>
        <w:autoSpaceDE w:val="0"/>
        <w:snapToGrid w:val="0"/>
        <w:spacing w:after="156" w:afterLines="50" w:line="600" w:lineRule="exact"/>
        <w:jc w:val="center"/>
        <w:rPr>
          <w:rFonts w:hint="eastAsia" w:eastAsia="仿宋_GB2312" w:cs="Times New Roman"/>
          <w:sz w:val="44"/>
          <w:szCs w:val="44"/>
        </w:rPr>
      </w:pPr>
      <w:r>
        <w:rPr>
          <w:rFonts w:hint="eastAsia" w:ascii="方正小标宋简体" w:eastAsia="方正小标宋简体"/>
          <w:color w:val="000000"/>
          <w:kern w:val="0"/>
          <w:sz w:val="44"/>
          <w:szCs w:val="44"/>
        </w:rPr>
        <w:t>广西壮族自治区国防动员（人民防空）行政处罚裁量基准（试行）</w:t>
      </w:r>
    </w:p>
    <w:bookmarkEnd w:id="0"/>
    <w:tbl>
      <w:tblPr>
        <w:tblStyle w:val="4"/>
        <w:tblW w:w="13153" w:type="dxa"/>
        <w:jc w:val="center"/>
        <w:tblLayout w:type="fixed"/>
        <w:tblCellMar>
          <w:top w:w="0" w:type="dxa"/>
          <w:left w:w="51" w:type="dxa"/>
          <w:bottom w:w="0" w:type="dxa"/>
          <w:right w:w="51" w:type="dxa"/>
        </w:tblCellMar>
      </w:tblPr>
      <w:tblGrid>
        <w:gridCol w:w="527"/>
        <w:gridCol w:w="930"/>
        <w:gridCol w:w="2498"/>
        <w:gridCol w:w="2788"/>
        <w:gridCol w:w="1155"/>
        <w:gridCol w:w="3777"/>
        <w:gridCol w:w="1478"/>
      </w:tblGrid>
      <w:tr>
        <w:tblPrEx>
          <w:tblCellMar>
            <w:top w:w="0" w:type="dxa"/>
            <w:left w:w="51" w:type="dxa"/>
            <w:bottom w:w="0" w:type="dxa"/>
            <w:right w:w="51" w:type="dxa"/>
          </w:tblCellMar>
        </w:tblPrEx>
        <w:trPr>
          <w:trHeight w:val="567" w:hRule="atLeast"/>
          <w:jc w:val="center"/>
        </w:trPr>
        <w:tc>
          <w:tcPr>
            <w:tcW w:w="52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方正黑体_GBK"/>
                <w:sz w:val="22"/>
                <w:szCs w:val="22"/>
              </w:rPr>
            </w:pPr>
            <w:r>
              <w:rPr>
                <w:rFonts w:hint="eastAsia" w:ascii="黑体" w:hAnsi="黑体" w:eastAsia="黑体" w:cs="方正黑体_GBK"/>
                <w:kern w:val="0"/>
                <w:sz w:val="22"/>
                <w:szCs w:val="22"/>
              </w:rPr>
              <w:t>序号</w:t>
            </w:r>
          </w:p>
        </w:tc>
        <w:tc>
          <w:tcPr>
            <w:tcW w:w="930" w:type="dxa"/>
            <w:vMerge w:val="restar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ascii="黑体" w:hAnsi="黑体" w:eastAsia="黑体" w:cs="方正黑体_GBK"/>
                <w:sz w:val="22"/>
                <w:szCs w:val="22"/>
              </w:rPr>
            </w:pPr>
            <w:r>
              <w:rPr>
                <w:rFonts w:hint="eastAsia" w:ascii="黑体" w:hAnsi="黑体" w:eastAsia="黑体" w:cs="方正黑体_GBK"/>
                <w:kern w:val="0"/>
                <w:sz w:val="22"/>
                <w:szCs w:val="22"/>
              </w:rPr>
              <w:t>违法行为</w:t>
            </w:r>
          </w:p>
        </w:tc>
        <w:tc>
          <w:tcPr>
            <w:tcW w:w="5286" w:type="dxa"/>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ascii="黑体" w:hAnsi="黑体" w:eastAsia="黑体" w:cs="方正黑体_GBK"/>
                <w:sz w:val="22"/>
                <w:szCs w:val="22"/>
              </w:rPr>
            </w:pPr>
            <w:r>
              <w:rPr>
                <w:rFonts w:hint="eastAsia" w:ascii="黑体" w:hAnsi="黑体" w:eastAsia="黑体" w:cs="方正黑体_GBK"/>
                <w:kern w:val="0"/>
                <w:sz w:val="22"/>
                <w:szCs w:val="22"/>
              </w:rPr>
              <w:t>法定依据</w:t>
            </w:r>
          </w:p>
        </w:tc>
        <w:tc>
          <w:tcPr>
            <w:tcW w:w="1155" w:type="dxa"/>
            <w:vMerge w:val="restart"/>
            <w:tcBorders>
              <w:top w:val="single" w:color="000000" w:sz="4" w:space="0"/>
              <w:left w:val="nil"/>
              <w:bottom w:val="nil"/>
              <w:right w:val="single" w:color="000000" w:sz="4" w:space="0"/>
            </w:tcBorders>
            <w:noWrap/>
            <w:vAlign w:val="center"/>
          </w:tcPr>
          <w:p>
            <w:pPr>
              <w:widowControl/>
              <w:snapToGrid w:val="0"/>
              <w:jc w:val="center"/>
              <w:textAlignment w:val="center"/>
              <w:rPr>
                <w:rFonts w:ascii="黑体" w:hAnsi="黑体" w:eastAsia="黑体" w:cs="方正黑体_GBK"/>
                <w:kern w:val="0"/>
                <w:sz w:val="22"/>
                <w:szCs w:val="22"/>
              </w:rPr>
            </w:pPr>
            <w:r>
              <w:rPr>
                <w:rFonts w:hint="eastAsia" w:ascii="黑体" w:hAnsi="黑体" w:eastAsia="黑体" w:cs="方正黑体_GBK"/>
                <w:kern w:val="0"/>
                <w:sz w:val="22"/>
                <w:szCs w:val="22"/>
              </w:rPr>
              <w:t>处罚裁量</w:t>
            </w:r>
          </w:p>
          <w:p>
            <w:pPr>
              <w:widowControl/>
              <w:snapToGrid w:val="0"/>
              <w:jc w:val="center"/>
              <w:textAlignment w:val="center"/>
              <w:rPr>
                <w:rFonts w:ascii="黑体" w:hAnsi="黑体" w:eastAsia="黑体" w:cs="方正黑体_GBK"/>
                <w:sz w:val="22"/>
                <w:szCs w:val="22"/>
              </w:rPr>
            </w:pPr>
            <w:r>
              <w:rPr>
                <w:rFonts w:hint="eastAsia" w:ascii="黑体" w:hAnsi="黑体" w:eastAsia="黑体" w:cs="方正黑体_GBK"/>
                <w:kern w:val="0"/>
                <w:sz w:val="22"/>
                <w:szCs w:val="22"/>
              </w:rPr>
              <w:t>标准</w:t>
            </w:r>
          </w:p>
        </w:tc>
        <w:tc>
          <w:tcPr>
            <w:tcW w:w="3777" w:type="dxa"/>
            <w:vMerge w:val="restart"/>
            <w:tcBorders>
              <w:top w:val="single" w:color="000000" w:sz="4" w:space="0"/>
              <w:left w:val="nil"/>
              <w:bottom w:val="nil"/>
              <w:right w:val="single" w:color="000000" w:sz="4" w:space="0"/>
            </w:tcBorders>
            <w:noWrap/>
            <w:vAlign w:val="center"/>
          </w:tcPr>
          <w:p>
            <w:pPr>
              <w:widowControl/>
              <w:snapToGrid w:val="0"/>
              <w:jc w:val="center"/>
              <w:textAlignment w:val="center"/>
              <w:rPr>
                <w:rFonts w:ascii="黑体" w:hAnsi="黑体" w:eastAsia="黑体" w:cs="方正黑体_GBK"/>
                <w:sz w:val="22"/>
                <w:szCs w:val="22"/>
              </w:rPr>
            </w:pPr>
            <w:r>
              <w:rPr>
                <w:rFonts w:hint="eastAsia" w:ascii="黑体" w:hAnsi="黑体" w:eastAsia="黑体" w:cs="方正黑体_GBK"/>
                <w:kern w:val="0"/>
                <w:sz w:val="22"/>
                <w:szCs w:val="22"/>
              </w:rPr>
              <w:t>适用条件</w:t>
            </w:r>
          </w:p>
        </w:tc>
        <w:tc>
          <w:tcPr>
            <w:tcW w:w="1478" w:type="dxa"/>
            <w:vMerge w:val="restart"/>
            <w:tcBorders>
              <w:top w:val="single" w:color="000000" w:sz="4" w:space="0"/>
              <w:left w:val="nil"/>
              <w:bottom w:val="nil"/>
              <w:right w:val="single" w:color="000000" w:sz="4" w:space="0"/>
            </w:tcBorders>
            <w:noWrap/>
            <w:vAlign w:val="center"/>
          </w:tcPr>
          <w:p>
            <w:pPr>
              <w:widowControl/>
              <w:snapToGrid w:val="0"/>
              <w:jc w:val="center"/>
              <w:textAlignment w:val="center"/>
              <w:rPr>
                <w:rFonts w:ascii="黑体" w:hAnsi="黑体" w:eastAsia="黑体" w:cs="方正黑体_GBK"/>
                <w:b/>
                <w:bCs/>
                <w:sz w:val="22"/>
                <w:szCs w:val="22"/>
              </w:rPr>
            </w:pPr>
            <w:r>
              <w:rPr>
                <w:rFonts w:hint="eastAsia" w:ascii="黑体" w:hAnsi="黑体" w:eastAsia="黑体" w:cs="方正黑体_GBK"/>
                <w:sz w:val="22"/>
                <w:szCs w:val="22"/>
              </w:rPr>
              <w:t>处罚标准</w:t>
            </w:r>
          </w:p>
        </w:tc>
      </w:tr>
      <w:tr>
        <w:tblPrEx>
          <w:tblCellMar>
            <w:top w:w="0" w:type="dxa"/>
            <w:left w:w="51" w:type="dxa"/>
            <w:bottom w:w="0" w:type="dxa"/>
            <w:right w:w="51" w:type="dxa"/>
          </w:tblCellMar>
        </w:tblPrEx>
        <w:trPr>
          <w:trHeight w:val="567" w:hRule="atLeast"/>
          <w:jc w:val="center"/>
        </w:trPr>
        <w:tc>
          <w:tcPr>
            <w:tcW w:w="5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黑体" w:hAnsi="黑体" w:eastAsia="黑体" w:cs="方正黑体_GBK"/>
                <w:sz w:val="22"/>
                <w:szCs w:val="22"/>
              </w:rPr>
            </w:pPr>
          </w:p>
        </w:tc>
        <w:tc>
          <w:tcPr>
            <w:tcW w:w="93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黑体" w:eastAsia="黑体" w:cs="方正黑体_GBK"/>
                <w:sz w:val="22"/>
                <w:szCs w:val="22"/>
              </w:rPr>
            </w:pPr>
          </w:p>
        </w:tc>
        <w:tc>
          <w:tcPr>
            <w:tcW w:w="249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ascii="方正黑体_GBK" w:hAnsi="方正黑体_GBK" w:eastAsia="方正黑体_GBK"/>
                <w:sz w:val="22"/>
                <w:szCs w:val="22"/>
              </w:rPr>
            </w:pPr>
            <w:r>
              <w:rPr>
                <w:rFonts w:hint="eastAsia" w:ascii="方正黑体_GBK" w:hAnsi="方正黑体_GBK" w:eastAsia="方正黑体_GBK"/>
                <w:kern w:val="0"/>
                <w:sz w:val="22"/>
                <w:szCs w:val="22"/>
              </w:rPr>
              <w:t>违法依据</w:t>
            </w:r>
          </w:p>
        </w:tc>
        <w:tc>
          <w:tcPr>
            <w:tcW w:w="278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ascii="方正黑体_GBK" w:hAnsi="方正黑体_GBK" w:eastAsia="方正黑体_GBK"/>
                <w:sz w:val="22"/>
                <w:szCs w:val="22"/>
              </w:rPr>
            </w:pPr>
            <w:r>
              <w:rPr>
                <w:rFonts w:hint="eastAsia" w:ascii="方正黑体_GBK" w:hAnsi="方正黑体_GBK" w:eastAsia="方正黑体_GBK"/>
                <w:kern w:val="0"/>
                <w:sz w:val="22"/>
                <w:szCs w:val="22"/>
              </w:rPr>
              <w:t>处罚依据</w:t>
            </w:r>
          </w:p>
        </w:tc>
        <w:tc>
          <w:tcPr>
            <w:tcW w:w="1155" w:type="dxa"/>
            <w:vMerge w:val="continue"/>
            <w:tcBorders>
              <w:top w:val="single" w:color="000000" w:sz="4" w:space="0"/>
              <w:left w:val="nil"/>
              <w:bottom w:val="nil"/>
              <w:right w:val="single" w:color="000000" w:sz="4" w:space="0"/>
            </w:tcBorders>
            <w:vAlign w:val="center"/>
          </w:tcPr>
          <w:p>
            <w:pPr>
              <w:widowControl/>
              <w:jc w:val="left"/>
              <w:rPr>
                <w:rFonts w:ascii="黑体" w:hAnsi="黑体" w:eastAsia="黑体" w:cs="方正黑体_GBK"/>
                <w:sz w:val="22"/>
                <w:szCs w:val="22"/>
              </w:rPr>
            </w:pPr>
          </w:p>
        </w:tc>
        <w:tc>
          <w:tcPr>
            <w:tcW w:w="3777" w:type="dxa"/>
            <w:vMerge w:val="continue"/>
            <w:tcBorders>
              <w:top w:val="single" w:color="000000" w:sz="4" w:space="0"/>
              <w:left w:val="nil"/>
              <w:bottom w:val="nil"/>
              <w:right w:val="single" w:color="000000" w:sz="4" w:space="0"/>
            </w:tcBorders>
            <w:vAlign w:val="center"/>
          </w:tcPr>
          <w:p>
            <w:pPr>
              <w:widowControl/>
              <w:jc w:val="left"/>
              <w:rPr>
                <w:rFonts w:ascii="黑体" w:hAnsi="黑体" w:eastAsia="黑体" w:cs="方正黑体_GBK"/>
                <w:sz w:val="22"/>
                <w:szCs w:val="22"/>
              </w:rPr>
            </w:pPr>
          </w:p>
        </w:tc>
        <w:tc>
          <w:tcPr>
            <w:tcW w:w="1478" w:type="dxa"/>
            <w:vMerge w:val="continue"/>
            <w:tcBorders>
              <w:top w:val="single" w:color="000000" w:sz="4" w:space="0"/>
              <w:left w:val="nil"/>
              <w:bottom w:val="nil"/>
              <w:right w:val="single" w:color="000000" w:sz="4" w:space="0"/>
            </w:tcBorders>
            <w:vAlign w:val="center"/>
          </w:tcPr>
          <w:p>
            <w:pPr>
              <w:widowControl/>
              <w:jc w:val="left"/>
              <w:rPr>
                <w:rFonts w:ascii="黑体" w:hAnsi="黑体" w:eastAsia="黑体" w:cs="方正黑体_GBK"/>
                <w:b/>
                <w:bCs/>
                <w:sz w:val="22"/>
                <w:szCs w:val="22"/>
              </w:rPr>
            </w:pPr>
          </w:p>
        </w:tc>
      </w:tr>
      <w:tr>
        <w:tblPrEx>
          <w:tblCellMar>
            <w:top w:w="0" w:type="dxa"/>
            <w:left w:w="51" w:type="dxa"/>
            <w:bottom w:w="0" w:type="dxa"/>
            <w:right w:w="51" w:type="dxa"/>
          </w:tblCellMar>
        </w:tblPrEx>
        <w:trPr>
          <w:trHeight w:val="2928" w:hRule="atLeast"/>
          <w:jc w:val="center"/>
        </w:trPr>
        <w:tc>
          <w:tcPr>
            <w:tcW w:w="527" w:type="dxa"/>
            <w:vMerge w:val="restart"/>
            <w:tcBorders>
              <w:top w:val="nil"/>
              <w:left w:val="single" w:color="000000" w:sz="4" w:space="0"/>
              <w:bottom w:val="nil"/>
              <w:right w:val="single" w:color="000000" w:sz="4" w:space="0"/>
            </w:tcBorders>
            <w:noWrap/>
            <w:vAlign w:val="center"/>
          </w:tcPr>
          <w:p>
            <w:pPr>
              <w:widowControl/>
              <w:snapToGrid w:val="0"/>
              <w:jc w:val="center"/>
              <w:textAlignment w:val="center"/>
              <w:rPr>
                <w:rFonts w:ascii="宋体" w:hAnsi="宋体"/>
                <w:sz w:val="22"/>
                <w:szCs w:val="22"/>
              </w:rPr>
            </w:pPr>
            <w:r>
              <w:rPr>
                <w:rFonts w:hint="eastAsia" w:ascii="宋体" w:hAnsi="宋体"/>
                <w:kern w:val="0"/>
                <w:sz w:val="22"/>
                <w:szCs w:val="22"/>
              </w:rPr>
              <w:t>1</w:t>
            </w:r>
          </w:p>
        </w:tc>
        <w:tc>
          <w:tcPr>
            <w:tcW w:w="930"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不修建或者少修建防空地下室的处罚。</w:t>
            </w:r>
          </w:p>
        </w:tc>
        <w:tc>
          <w:tcPr>
            <w:tcW w:w="249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1.《中华人民共和国人民防空法》第二十二条：城市新建民用建筑，按照国家有关规定修建战时可用于防空的地下室。</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十六条：城市规划区内新建民用建筑，各类开发区、工业园区、保税区、重要经济目标区和高校新校区新建民用建筑，应当按照国家有关要求和标准修建战时可用于防空的地下室（以下简称防空地下室）。</w:t>
            </w:r>
          </w:p>
        </w:tc>
        <w:tc>
          <w:tcPr>
            <w:tcW w:w="278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四十条：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tc>
        <w:tc>
          <w:tcPr>
            <w:tcW w:w="1155" w:type="dxa"/>
            <w:tcBorders>
              <w:top w:val="single" w:color="000000" w:sz="4" w:space="0"/>
              <w:left w:val="nil"/>
              <w:bottom w:val="single" w:color="auto" w:sz="4" w:space="0"/>
              <w:right w:val="single" w:color="000000"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免予处罚</w:t>
            </w:r>
          </w:p>
        </w:tc>
        <w:tc>
          <w:tcPr>
            <w:tcW w:w="3777" w:type="dxa"/>
            <w:tcBorders>
              <w:top w:val="single" w:color="000000" w:sz="4" w:space="0"/>
              <w:left w:val="nil"/>
              <w:bottom w:val="single" w:color="auto" w:sz="4" w:space="0"/>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1.有足够证据证明没有主观过错，应建未建防空地下室面积在</w:t>
            </w:r>
            <w:r>
              <w:rPr>
                <w:rFonts w:ascii="仿宋_GB2312" w:hAnsi="宋体"/>
                <w:sz w:val="20"/>
                <w:szCs w:val="20"/>
              </w:rPr>
              <w:t>3%以下（大于500平方米的除外），经查实后主动足额补建或缴纳易地建设费的；</w:t>
            </w:r>
          </w:p>
          <w:p>
            <w:pPr>
              <w:rPr>
                <w:rFonts w:ascii="仿宋_GB2312" w:hAnsi="宋体"/>
                <w:sz w:val="20"/>
                <w:szCs w:val="20"/>
              </w:rPr>
            </w:pPr>
            <w:r>
              <w:rPr>
                <w:rFonts w:ascii="仿宋_GB2312" w:hAnsi="宋体"/>
                <w:sz w:val="20"/>
                <w:szCs w:val="20"/>
              </w:rPr>
              <w:t>2.</w:t>
            </w:r>
            <w:r>
              <w:rPr>
                <w:rFonts w:ascii="仿宋_GB2312" w:hAnsi="仿宋_GB2312"/>
                <w:sz w:val="20"/>
                <w:szCs w:val="20"/>
              </w:rPr>
              <w:t>项目已取得施工许可（或有证据证明已实施建设）但未取得人防相关审查意见，经查实符合易地建设条件，且建设单位为首次违反人防相关法律法规规定并愿意主动足额补建或缴纳易地建设费的。</w:t>
            </w:r>
          </w:p>
        </w:tc>
        <w:tc>
          <w:tcPr>
            <w:tcW w:w="1478" w:type="dxa"/>
            <w:tcBorders>
              <w:top w:val="single" w:color="000000"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免予处罚。</w:t>
            </w:r>
          </w:p>
        </w:tc>
      </w:tr>
      <w:tr>
        <w:tblPrEx>
          <w:tblCellMar>
            <w:top w:w="0" w:type="dxa"/>
            <w:left w:w="51" w:type="dxa"/>
            <w:bottom w:w="0" w:type="dxa"/>
            <w:right w:w="51" w:type="dxa"/>
          </w:tblCellMar>
        </w:tblPrEx>
        <w:trPr>
          <w:trHeight w:val="1342" w:hRule="atLeast"/>
          <w:jc w:val="center"/>
        </w:trPr>
        <w:tc>
          <w:tcPr>
            <w:tcW w:w="527" w:type="dxa"/>
            <w:vMerge w:val="continue"/>
            <w:tcBorders>
              <w:top w:val="nil"/>
              <w:left w:val="single" w:color="000000" w:sz="4" w:space="0"/>
              <w:bottom w:val="nil"/>
              <w:right w:val="single" w:color="000000" w:sz="4" w:space="0"/>
            </w:tcBorders>
            <w:vAlign w:val="center"/>
          </w:tcPr>
          <w:p>
            <w:pPr>
              <w:widowControl/>
              <w:jc w:val="left"/>
              <w:rPr>
                <w:rFonts w:ascii="宋体" w:hAnsi="宋体"/>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ascii="仿宋_GB2312" w:hAnsi="宋体"/>
                <w:strike/>
                <w:sz w:val="20"/>
                <w:szCs w:val="20"/>
              </w:rPr>
            </w:pPr>
            <w:r>
              <w:rPr>
                <w:rFonts w:ascii="仿宋_GB2312" w:hAnsi="仿宋_GB2312"/>
                <w:sz w:val="20"/>
                <w:szCs w:val="20"/>
              </w:rPr>
              <w:t>从轻处罚</w:t>
            </w:r>
          </w:p>
        </w:tc>
        <w:tc>
          <w:tcPr>
            <w:tcW w:w="3777" w:type="dxa"/>
            <w:tcBorders>
              <w:top w:val="single" w:color="auto" w:sz="4" w:space="0"/>
              <w:left w:val="nil"/>
              <w:bottom w:val="single" w:color="auto" w:sz="4" w:space="0"/>
              <w:right w:val="single" w:color="000000" w:sz="4" w:space="0"/>
            </w:tcBorders>
            <w:vAlign w:val="center"/>
          </w:tcPr>
          <w:p>
            <w:pPr>
              <w:widowControl/>
              <w:snapToGrid w:val="0"/>
              <w:rPr>
                <w:rFonts w:ascii="仿宋_GB2312" w:hAnsi="宋体"/>
                <w:strike/>
                <w:sz w:val="20"/>
                <w:szCs w:val="20"/>
              </w:rPr>
            </w:pPr>
            <w:r>
              <w:rPr>
                <w:rFonts w:ascii="仿宋_GB2312" w:hAnsi="仿宋_GB2312"/>
                <w:sz w:val="20"/>
                <w:szCs w:val="20"/>
              </w:rPr>
              <w:t>未按规定结建防空地下室面积低应建面积的3%以上，小于5%，且不超过700平方米的</w:t>
            </w:r>
            <w:r>
              <w:rPr>
                <w:rFonts w:hint="eastAsia" w:ascii="仿宋" w:hAnsi="仿宋" w:eastAsia="仿宋" w:cs="仿宋_GB2312"/>
                <w:sz w:val="20"/>
                <w:szCs w:val="20"/>
              </w:rPr>
              <w:t>。</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trike/>
                <w:sz w:val="20"/>
                <w:szCs w:val="20"/>
              </w:rPr>
            </w:pPr>
            <w:r>
              <w:rPr>
                <w:rFonts w:ascii="仿宋_GB2312" w:hAnsi="仿宋_GB2312"/>
                <w:sz w:val="20"/>
                <w:szCs w:val="20"/>
              </w:rPr>
              <w:t>警告，并责令限期修建，免予罚款处罚。</w:t>
            </w:r>
          </w:p>
        </w:tc>
      </w:tr>
      <w:tr>
        <w:tblPrEx>
          <w:tblCellMar>
            <w:top w:w="0" w:type="dxa"/>
            <w:left w:w="51" w:type="dxa"/>
            <w:bottom w:w="0" w:type="dxa"/>
            <w:right w:w="51" w:type="dxa"/>
          </w:tblCellMar>
        </w:tblPrEx>
        <w:trPr>
          <w:trHeight w:val="1446" w:hRule="atLeast"/>
          <w:jc w:val="center"/>
        </w:trPr>
        <w:tc>
          <w:tcPr>
            <w:tcW w:w="527" w:type="dxa"/>
            <w:vMerge w:val="continue"/>
            <w:tcBorders>
              <w:top w:val="nil"/>
              <w:left w:val="single" w:color="000000" w:sz="4" w:space="0"/>
              <w:bottom w:val="nil"/>
              <w:right w:val="single" w:color="000000" w:sz="4" w:space="0"/>
            </w:tcBorders>
            <w:vAlign w:val="center"/>
          </w:tcPr>
          <w:p>
            <w:pPr>
              <w:widowControl/>
              <w:jc w:val="left"/>
              <w:rPr>
                <w:rFonts w:ascii="宋体" w:hAnsi="宋体"/>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一般处罚</w:t>
            </w:r>
          </w:p>
        </w:tc>
        <w:tc>
          <w:tcPr>
            <w:tcW w:w="3777" w:type="dxa"/>
            <w:tcBorders>
              <w:top w:val="single" w:color="auto" w:sz="4" w:space="0"/>
              <w:left w:val="nil"/>
              <w:bottom w:val="single" w:color="auto" w:sz="4" w:space="0"/>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未按规定结建防空地下室面积占应建面积的5%（含）以上，小于10%，且不超过1000平方米。</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警告，责令限期修建，并处20000元的罚款。</w:t>
            </w:r>
          </w:p>
        </w:tc>
      </w:tr>
      <w:tr>
        <w:tblPrEx>
          <w:tblCellMar>
            <w:top w:w="0" w:type="dxa"/>
            <w:left w:w="51" w:type="dxa"/>
            <w:bottom w:w="0" w:type="dxa"/>
            <w:right w:w="51" w:type="dxa"/>
          </w:tblCellMar>
        </w:tblPrEx>
        <w:trPr>
          <w:trHeight w:val="2196" w:hRule="atLeast"/>
          <w:jc w:val="center"/>
        </w:trPr>
        <w:tc>
          <w:tcPr>
            <w:tcW w:w="527" w:type="dxa"/>
            <w:vMerge w:val="restart"/>
            <w:tcBorders>
              <w:top w:val="nil"/>
              <w:left w:val="single" w:color="auto" w:sz="4" w:space="0"/>
              <w:bottom w:val="nil"/>
              <w:right w:val="single" w:color="000000" w:sz="4" w:space="0"/>
            </w:tcBorders>
            <w:noWrap/>
            <w:vAlign w:val="center"/>
          </w:tcPr>
          <w:p>
            <w:pPr>
              <w:widowControl/>
              <w:snapToGrid w:val="0"/>
              <w:jc w:val="center"/>
              <w:textAlignment w:val="center"/>
              <w:rPr>
                <w:rFonts w:ascii="宋体" w:hAnsi="宋体"/>
                <w:kern w:val="0"/>
                <w:sz w:val="22"/>
                <w:szCs w:val="22"/>
              </w:rPr>
            </w:pPr>
            <w:r>
              <w:rPr>
                <w:rFonts w:hint="eastAsia" w:ascii="宋体" w:hAnsi="宋体"/>
                <w:kern w:val="0"/>
                <w:sz w:val="22"/>
                <w:szCs w:val="22"/>
              </w:rPr>
              <w:t>1</w:t>
            </w:r>
          </w:p>
        </w:tc>
        <w:tc>
          <w:tcPr>
            <w:tcW w:w="930"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不修建或者少修建防空地下室的处罚。</w:t>
            </w:r>
          </w:p>
        </w:tc>
        <w:tc>
          <w:tcPr>
            <w:tcW w:w="249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1.《中华人民共和国人民防空法》第二十二条：城市新建民用建筑，按照国家有关规定修建战时可用于防空的地下室。</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十六条：城市规划区内新建民用建筑，各类开发区、工业园区、保税区、重要经济目标区和高校新校区新建民用建筑，应当按照国家有关要求和标准修建战时可用于防空的地下室（以下简称防空地下室）。</w:t>
            </w:r>
          </w:p>
        </w:tc>
        <w:tc>
          <w:tcPr>
            <w:tcW w:w="278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四十条：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cs="Times New Roman"/>
              </w:rPr>
            </w:pPr>
            <w:r>
              <w:rPr>
                <w:rFonts w:ascii="仿宋_GB2312" w:hAnsi="仿宋_GB2312"/>
                <w:sz w:val="20"/>
                <w:szCs w:val="20"/>
              </w:rPr>
              <w:t>较重处罚</w:t>
            </w:r>
          </w:p>
        </w:tc>
        <w:tc>
          <w:tcPr>
            <w:tcW w:w="3777" w:type="dxa"/>
            <w:tcBorders>
              <w:top w:val="single" w:color="auto" w:sz="4" w:space="0"/>
              <w:left w:val="nil"/>
              <w:bottom w:val="single" w:color="auto" w:sz="4" w:space="0"/>
              <w:right w:val="single" w:color="auto" w:sz="4" w:space="0"/>
            </w:tcBorders>
            <w:vAlign w:val="center"/>
          </w:tcPr>
          <w:p>
            <w:pPr>
              <w:widowControl/>
              <w:snapToGrid w:val="0"/>
              <w:rPr>
                <w:rFonts w:ascii="仿宋_GB2312" w:hAnsi="宋体"/>
                <w:sz w:val="20"/>
                <w:szCs w:val="20"/>
              </w:rPr>
            </w:pPr>
            <w:r>
              <w:rPr>
                <w:rFonts w:ascii="仿宋_GB2312" w:hAnsi="仿宋_GB2312"/>
                <w:sz w:val="20"/>
                <w:szCs w:val="20"/>
              </w:rPr>
              <w:t>未按规定结建防空地下室面积占应建面积的10%（含）以上，小于15%，且不超过1500平方米。</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警告，责令限期修建，并处50000元的罚款。</w:t>
            </w:r>
          </w:p>
        </w:tc>
      </w:tr>
      <w:tr>
        <w:tblPrEx>
          <w:tblCellMar>
            <w:top w:w="0" w:type="dxa"/>
            <w:left w:w="51" w:type="dxa"/>
            <w:bottom w:w="0" w:type="dxa"/>
            <w:right w:w="51" w:type="dxa"/>
          </w:tblCellMar>
        </w:tblPrEx>
        <w:trPr>
          <w:trHeight w:val="2627" w:hRule="atLeast"/>
          <w:jc w:val="center"/>
        </w:trPr>
        <w:tc>
          <w:tcPr>
            <w:tcW w:w="527" w:type="dxa"/>
            <w:vMerge w:val="continue"/>
            <w:tcBorders>
              <w:top w:val="nil"/>
              <w:left w:val="single" w:color="auto"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ascii="仿宋_GB2312" w:hAnsi="宋体"/>
                <w:sz w:val="20"/>
                <w:szCs w:val="20"/>
              </w:rPr>
            </w:pPr>
          </w:p>
          <w:p>
            <w:pPr>
              <w:widowControl/>
              <w:snapToGrid w:val="0"/>
              <w:jc w:val="center"/>
              <w:rPr>
                <w:rFonts w:cs="Times New Roman"/>
              </w:rPr>
            </w:pPr>
            <w:r>
              <w:rPr>
                <w:rFonts w:ascii="仿宋_GB2312" w:hAnsi="仿宋_GB2312"/>
                <w:sz w:val="20"/>
                <w:szCs w:val="20"/>
              </w:rPr>
              <w:t>严重处罚</w:t>
            </w:r>
          </w:p>
        </w:tc>
        <w:tc>
          <w:tcPr>
            <w:tcW w:w="3777" w:type="dxa"/>
            <w:tcBorders>
              <w:top w:val="single" w:color="auto" w:sz="4" w:space="0"/>
              <w:left w:val="nil"/>
              <w:bottom w:val="single" w:color="auto" w:sz="4" w:space="0"/>
              <w:right w:val="single" w:color="auto" w:sz="4" w:space="0"/>
            </w:tcBorders>
            <w:vAlign w:val="center"/>
          </w:tcPr>
          <w:p>
            <w:pPr>
              <w:widowControl/>
              <w:snapToGrid w:val="0"/>
              <w:rPr>
                <w:rFonts w:ascii="仿宋_GB2312" w:hAnsi="宋体"/>
                <w:sz w:val="20"/>
                <w:szCs w:val="20"/>
              </w:rPr>
            </w:pPr>
            <w:r>
              <w:rPr>
                <w:rFonts w:ascii="仿宋_GB2312" w:hAnsi="仿宋_GB2312"/>
                <w:sz w:val="20"/>
                <w:szCs w:val="20"/>
              </w:rPr>
              <w:t>未按规定结建防空地下室面积占应建面积15%以上，小于20%，且不超过1500平方米。</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警告，责令限期修建，并处80000元的罚款。</w:t>
            </w:r>
          </w:p>
        </w:tc>
      </w:tr>
      <w:tr>
        <w:tblPrEx>
          <w:tblCellMar>
            <w:top w:w="0" w:type="dxa"/>
            <w:left w:w="51" w:type="dxa"/>
            <w:bottom w:w="0" w:type="dxa"/>
            <w:right w:w="51" w:type="dxa"/>
          </w:tblCellMar>
        </w:tblPrEx>
        <w:trPr>
          <w:trHeight w:val="2559" w:hRule="atLeast"/>
          <w:jc w:val="center"/>
        </w:trPr>
        <w:tc>
          <w:tcPr>
            <w:tcW w:w="527" w:type="dxa"/>
            <w:vMerge w:val="continue"/>
            <w:tcBorders>
              <w:top w:val="nil"/>
              <w:left w:val="single" w:color="auto"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特别严重</w:t>
            </w:r>
          </w:p>
          <w:p>
            <w:pPr>
              <w:jc w:val="center"/>
              <w:rPr>
                <w:rFonts w:cs="Times New Roman"/>
              </w:rPr>
            </w:pPr>
            <w:r>
              <w:rPr>
                <w:rFonts w:ascii="仿宋_GB2312" w:hAnsi="仿宋_GB2312"/>
                <w:sz w:val="20"/>
                <w:szCs w:val="20"/>
              </w:rPr>
              <w:t>处罚</w:t>
            </w:r>
          </w:p>
        </w:tc>
        <w:tc>
          <w:tcPr>
            <w:tcW w:w="3777" w:type="dxa"/>
            <w:tcBorders>
              <w:top w:val="single" w:color="auto" w:sz="4" w:space="0"/>
              <w:left w:val="nil"/>
              <w:bottom w:val="single" w:color="auto" w:sz="4" w:space="0"/>
              <w:right w:val="single" w:color="auto" w:sz="4" w:space="0"/>
            </w:tcBorders>
            <w:vAlign w:val="center"/>
          </w:tcPr>
          <w:p>
            <w:pPr>
              <w:widowControl/>
              <w:snapToGrid w:val="0"/>
              <w:rPr>
                <w:rFonts w:ascii="仿宋_GB2312" w:hAnsi="宋体"/>
                <w:sz w:val="20"/>
                <w:szCs w:val="20"/>
              </w:rPr>
            </w:pPr>
            <w:r>
              <w:rPr>
                <w:rFonts w:ascii="仿宋_GB2312" w:hAnsi="仿宋_GB2312"/>
                <w:sz w:val="20"/>
                <w:szCs w:val="20"/>
              </w:rPr>
              <w:t>未按规定结建防空地下面积占应建面积20%（含）以上，或不修建、少修建防空地下室面积大于2000平方米（含）的。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警告，责令限期修建，并处100000元的罚款。</w:t>
            </w:r>
          </w:p>
        </w:tc>
      </w:tr>
      <w:tr>
        <w:tblPrEx>
          <w:tblCellMar>
            <w:top w:w="0" w:type="dxa"/>
            <w:left w:w="51" w:type="dxa"/>
            <w:bottom w:w="0" w:type="dxa"/>
            <w:right w:w="51" w:type="dxa"/>
          </w:tblCellMar>
        </w:tblPrEx>
        <w:trPr>
          <w:trHeight w:val="1289" w:hRule="atLeast"/>
          <w:jc w:val="center"/>
        </w:trPr>
        <w:tc>
          <w:tcPr>
            <w:tcW w:w="527" w:type="dxa"/>
            <w:vMerge w:val="restart"/>
            <w:tcBorders>
              <w:top w:val="nil"/>
              <w:left w:val="single" w:color="auto" w:sz="4" w:space="0"/>
              <w:bottom w:val="nil"/>
              <w:right w:val="single" w:color="000000" w:sz="4" w:space="0"/>
            </w:tcBorders>
            <w:noWrap/>
            <w:vAlign w:val="center"/>
          </w:tcPr>
          <w:p>
            <w:pPr>
              <w:widowControl/>
              <w:snapToGrid w:val="0"/>
              <w:jc w:val="center"/>
              <w:textAlignment w:val="center"/>
              <w:rPr>
                <w:rFonts w:ascii="宋体" w:hAnsi="宋体"/>
                <w:kern w:val="0"/>
                <w:sz w:val="22"/>
                <w:szCs w:val="22"/>
              </w:rPr>
            </w:pPr>
            <w:r>
              <w:rPr>
                <w:rFonts w:hint="eastAsia" w:ascii="宋体" w:hAnsi="宋体"/>
                <w:kern w:val="0"/>
                <w:sz w:val="22"/>
                <w:szCs w:val="22"/>
              </w:rPr>
              <w:t>2</w:t>
            </w:r>
          </w:p>
        </w:tc>
        <w:tc>
          <w:tcPr>
            <w:tcW w:w="930"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不按国家规定的防护标准和质量标准修建人民防空工程的处罚。</w:t>
            </w:r>
          </w:p>
        </w:tc>
        <w:tc>
          <w:tcPr>
            <w:tcW w:w="249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1.《中华人民共和国人民防空法》第二十二条：城市新建民用建筑，按照国家有关规定修建战时可用于防空的地下室。</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十六条：城市规划区内新建民用建筑，各类开发区、工业园区、保税区、重要经济目标区和高校新校区新建民用建筑，应当按照国家有关要求和标准修建战时可用于防空的地下室（以下简称防空地下室）。</w:t>
            </w:r>
          </w:p>
          <w:p>
            <w:pPr>
              <w:widowControl/>
              <w:snapToGrid w:val="0"/>
              <w:rPr>
                <w:rFonts w:ascii="仿宋_GB2312" w:hAnsi="宋体"/>
                <w:sz w:val="20"/>
                <w:szCs w:val="20"/>
              </w:rPr>
            </w:pPr>
          </w:p>
        </w:tc>
        <w:tc>
          <w:tcPr>
            <w:tcW w:w="278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p>
            <w:pPr>
              <w:widowControl/>
              <w:snapToGrid w:val="0"/>
              <w:rPr>
                <w:rFonts w:ascii="仿宋_GB2312" w:hAnsi="宋体"/>
                <w:sz w:val="20"/>
                <w:szCs w:val="20"/>
              </w:rPr>
            </w:pPr>
            <w:r>
              <w:rPr>
                <w:rFonts w:hint="eastAsia" w:ascii="仿宋" w:hAnsi="仿宋" w:eastAsia="仿宋" w:cs="仿宋_GB2312"/>
                <w:sz w:val="20"/>
                <w:szCs w:val="20"/>
              </w:rPr>
              <w:t>……</w:t>
            </w:r>
          </w:p>
          <w:p>
            <w:pPr>
              <w:widowControl/>
              <w:snapToGrid w:val="0"/>
              <w:rPr>
                <w:rFonts w:ascii="仿宋_GB2312" w:hAnsi="宋体"/>
                <w:sz w:val="20"/>
                <w:szCs w:val="20"/>
              </w:rPr>
            </w:pPr>
            <w:r>
              <w:rPr>
                <w:rFonts w:ascii="仿宋_GB2312" w:hAnsi="仿宋_GB2312"/>
                <w:sz w:val="20"/>
                <w:szCs w:val="20"/>
              </w:rPr>
              <w:t>（二）不按照国家规定的防护标准和质量标准修建人民防空工程的；</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w:t>
            </w:r>
          </w:p>
          <w:p>
            <w:pPr>
              <w:widowControl/>
              <w:snapToGrid w:val="0"/>
              <w:rPr>
                <w:rFonts w:ascii="仿宋_GB2312" w:hAnsi="宋体"/>
                <w:sz w:val="20"/>
                <w:szCs w:val="20"/>
              </w:rPr>
            </w:pPr>
            <w:r>
              <w:rPr>
                <w:rFonts w:ascii="仿宋_GB2312" w:hAnsi="仿宋_GB2312"/>
                <w:sz w:val="20"/>
                <w:szCs w:val="20"/>
              </w:rPr>
              <w:t>……</w:t>
            </w:r>
          </w:p>
          <w:p>
            <w:pPr>
              <w:widowControl/>
              <w:snapToGrid w:val="0"/>
              <w:rPr>
                <w:rFonts w:ascii="仿宋_GB2312" w:hAnsi="宋体"/>
                <w:sz w:val="20"/>
                <w:szCs w:val="20"/>
              </w:rPr>
            </w:pPr>
            <w:r>
              <w:rPr>
                <w:rFonts w:ascii="仿宋_GB2312" w:hAnsi="仿宋_GB2312"/>
                <w:sz w:val="20"/>
                <w:szCs w:val="20"/>
              </w:rPr>
              <w:t>（二）不按照国家规定的防护标准和质量标准修建人民防空工程的；</w:t>
            </w:r>
          </w:p>
          <w:p>
            <w:pPr>
              <w:widowControl/>
              <w:snapToGrid w:val="0"/>
              <w:rPr>
                <w:rFonts w:ascii="仿宋_GB2312" w:hAnsi="宋体"/>
                <w:sz w:val="20"/>
                <w:szCs w:val="20"/>
              </w:rPr>
            </w:pPr>
            <w:r>
              <w:rPr>
                <w:rFonts w:ascii="仿宋_GB2312" w:hAnsi="仿宋_GB2312"/>
                <w:sz w:val="20"/>
                <w:szCs w:val="20"/>
              </w:rPr>
              <w:t>……</w:t>
            </w:r>
          </w:p>
          <w:p>
            <w:pPr>
              <w:widowControl/>
              <w:snapToGrid w:val="0"/>
              <w:rPr>
                <w:rFonts w:ascii="仿宋_GB2312" w:hAnsi="宋体"/>
                <w:sz w:val="20"/>
                <w:szCs w:val="20"/>
              </w:rPr>
            </w:pPr>
          </w:p>
        </w:tc>
        <w:tc>
          <w:tcPr>
            <w:tcW w:w="115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免予处罚</w:t>
            </w:r>
          </w:p>
        </w:tc>
        <w:tc>
          <w:tcPr>
            <w:tcW w:w="3777" w:type="dxa"/>
            <w:tcBorders>
              <w:top w:val="single" w:color="auto" w:sz="4" w:space="0"/>
              <w:left w:val="nil"/>
              <w:bottom w:val="single" w:color="auto"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首次违反或存在10处（不含）以下违反人防设计、施工等规范标准一般性条款情形，经整改后达到国家规定的防护标准和质量标准的。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免予处罚；造成损失的，应当依法赔偿损失。</w:t>
            </w:r>
          </w:p>
        </w:tc>
      </w:tr>
      <w:tr>
        <w:tblPrEx>
          <w:tblCellMar>
            <w:top w:w="0" w:type="dxa"/>
            <w:left w:w="51" w:type="dxa"/>
            <w:bottom w:w="0" w:type="dxa"/>
            <w:right w:w="51" w:type="dxa"/>
          </w:tblCellMar>
        </w:tblPrEx>
        <w:trPr>
          <w:trHeight w:val="1492" w:hRule="atLeast"/>
          <w:jc w:val="center"/>
        </w:trPr>
        <w:tc>
          <w:tcPr>
            <w:tcW w:w="527" w:type="dxa"/>
            <w:vMerge w:val="continue"/>
            <w:tcBorders>
              <w:top w:val="nil"/>
              <w:left w:val="single" w:color="auto"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从轻处罚</w:t>
            </w:r>
          </w:p>
        </w:tc>
        <w:tc>
          <w:tcPr>
            <w:tcW w:w="3777" w:type="dxa"/>
            <w:tcBorders>
              <w:top w:val="single" w:color="auto" w:sz="4" w:space="0"/>
              <w:left w:val="nil"/>
              <w:bottom w:val="single" w:color="auto"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存在10处（含）以上30处（不含）以下违反人防设计、施工等规范标准一般性条款情形，经整改后达到国家规定的防护标准和质量标准要求的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警告，责令限期改正，免予罚款处罚；造成损失的，应当依法赔偿损失。</w:t>
            </w:r>
          </w:p>
        </w:tc>
      </w:tr>
      <w:tr>
        <w:tblPrEx>
          <w:tblCellMar>
            <w:top w:w="0" w:type="dxa"/>
            <w:left w:w="51" w:type="dxa"/>
            <w:bottom w:w="0" w:type="dxa"/>
            <w:right w:w="51" w:type="dxa"/>
          </w:tblCellMar>
        </w:tblPrEx>
        <w:trPr>
          <w:trHeight w:val="1680" w:hRule="atLeast"/>
          <w:jc w:val="center"/>
        </w:trPr>
        <w:tc>
          <w:tcPr>
            <w:tcW w:w="527" w:type="dxa"/>
            <w:vMerge w:val="continue"/>
            <w:tcBorders>
              <w:top w:val="nil"/>
              <w:left w:val="single" w:color="auto"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一般处罚</w:t>
            </w:r>
          </w:p>
          <w:p>
            <w:pPr>
              <w:widowControl/>
              <w:snapToGrid w:val="0"/>
              <w:jc w:val="center"/>
              <w:rPr>
                <w:rFonts w:ascii="仿宋_GB2312" w:hAnsi="宋体"/>
                <w:sz w:val="20"/>
                <w:szCs w:val="20"/>
              </w:rPr>
            </w:pPr>
          </w:p>
        </w:tc>
        <w:tc>
          <w:tcPr>
            <w:tcW w:w="3777" w:type="dxa"/>
            <w:tcBorders>
              <w:top w:val="single" w:color="auto" w:sz="4" w:space="0"/>
              <w:left w:val="nil"/>
              <w:bottom w:val="single" w:color="auto"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1.存在30处（含）以上40处（不含）以下违反人防设计、施工等规范标准一般性条款情形，经整改后达到国家规定的防护标准和质量标准要求，项目相关方提出损失赔偿10万元以内的。</w:t>
            </w:r>
          </w:p>
          <w:p>
            <w:pPr>
              <w:widowControl/>
              <w:autoSpaceDE w:val="0"/>
              <w:snapToGrid w:val="0"/>
              <w:spacing w:line="240" w:lineRule="exact"/>
              <w:rPr>
                <w:rFonts w:ascii="仿宋_GB2312" w:hAnsi="宋体"/>
                <w:sz w:val="20"/>
                <w:szCs w:val="20"/>
              </w:rPr>
            </w:pPr>
            <w:r>
              <w:rPr>
                <w:rFonts w:ascii="仿宋_GB2312" w:hAnsi="仿宋_GB2312"/>
                <w:sz w:val="20"/>
                <w:szCs w:val="20"/>
              </w:rPr>
              <w:t>2.存在1处违反强制性条款情形，经整改后达到国家规定的防护标准和质量标准的。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警告，责令限期改正，对个人并处1000元的罚款，对单位并处10000元的罚款；并依法赔偿造成的损失。</w:t>
            </w:r>
          </w:p>
        </w:tc>
      </w:tr>
      <w:tr>
        <w:tblPrEx>
          <w:tblCellMar>
            <w:top w:w="0" w:type="dxa"/>
            <w:left w:w="51" w:type="dxa"/>
            <w:bottom w:w="0" w:type="dxa"/>
            <w:right w:w="51" w:type="dxa"/>
          </w:tblCellMar>
        </w:tblPrEx>
        <w:trPr>
          <w:trHeight w:val="2782" w:hRule="atLeast"/>
          <w:jc w:val="center"/>
        </w:trPr>
        <w:tc>
          <w:tcPr>
            <w:tcW w:w="527" w:type="dxa"/>
            <w:vMerge w:val="continue"/>
            <w:tcBorders>
              <w:top w:val="nil"/>
              <w:left w:val="single" w:color="auto"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较重处罚</w:t>
            </w:r>
          </w:p>
          <w:p>
            <w:pPr>
              <w:widowControl/>
              <w:snapToGrid w:val="0"/>
              <w:rPr>
                <w:rFonts w:ascii="仿宋_GB2312" w:hAnsi="宋体"/>
                <w:sz w:val="20"/>
                <w:szCs w:val="20"/>
              </w:rPr>
            </w:pPr>
          </w:p>
        </w:tc>
        <w:tc>
          <w:tcPr>
            <w:tcW w:w="3777" w:type="dxa"/>
            <w:tcBorders>
              <w:top w:val="single" w:color="auto" w:sz="4" w:space="0"/>
              <w:left w:val="nil"/>
              <w:bottom w:val="single" w:color="auto"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1.个别分项或分部工程质量不合格，经整改后，致使少建人防工程面积比例不超过设计值的3%（不含），但不影响平战转换和使用功能，且已主动足额补建或补偿损失的；少建面积500平方米（含）以上的除外。</w:t>
            </w:r>
          </w:p>
          <w:p>
            <w:pPr>
              <w:widowControl/>
              <w:autoSpaceDE w:val="0"/>
              <w:snapToGrid w:val="0"/>
              <w:spacing w:line="240" w:lineRule="exact"/>
              <w:rPr>
                <w:rFonts w:ascii="仿宋_GB2312" w:hAnsi="宋体"/>
                <w:sz w:val="20"/>
                <w:szCs w:val="20"/>
              </w:rPr>
            </w:pPr>
            <w:r>
              <w:rPr>
                <w:rFonts w:ascii="仿宋_GB2312" w:hAnsi="仿宋_GB2312"/>
                <w:sz w:val="20"/>
                <w:szCs w:val="20"/>
              </w:rPr>
              <w:t>2.存在40处（含）以上50处（不含）以下违反一般性条款情形，或同时存在1处违反强制性条款和30处（含）以上一般性条款情形，经整改后达到国家规定的防护标准和质量标准的。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警告，责令限期改正，对个人并处3000元的罚款，对单位并处30000元的罚款；并依法赔偿造成的损失。</w:t>
            </w:r>
          </w:p>
        </w:tc>
      </w:tr>
      <w:tr>
        <w:tblPrEx>
          <w:tblCellMar>
            <w:top w:w="0" w:type="dxa"/>
            <w:left w:w="51" w:type="dxa"/>
            <w:bottom w:w="0" w:type="dxa"/>
            <w:right w:w="51" w:type="dxa"/>
          </w:tblCellMar>
        </w:tblPrEx>
        <w:trPr>
          <w:trHeight w:val="2993" w:hRule="atLeast"/>
          <w:jc w:val="center"/>
        </w:trPr>
        <w:tc>
          <w:tcPr>
            <w:tcW w:w="527" w:type="dxa"/>
            <w:vMerge w:val="restart"/>
            <w:tcBorders>
              <w:top w:val="nil"/>
              <w:left w:val="single" w:color="000000" w:sz="4" w:space="0"/>
              <w:bottom w:val="nil"/>
              <w:right w:val="single" w:color="000000" w:sz="4" w:space="0"/>
            </w:tcBorders>
            <w:noWrap/>
            <w:vAlign w:val="center"/>
          </w:tcPr>
          <w:p>
            <w:pPr>
              <w:widowControl/>
              <w:snapToGrid w:val="0"/>
              <w:jc w:val="center"/>
              <w:textAlignment w:val="center"/>
              <w:rPr>
                <w:rFonts w:ascii="宋体" w:hAnsi="宋体"/>
                <w:kern w:val="0"/>
                <w:sz w:val="22"/>
                <w:szCs w:val="22"/>
              </w:rPr>
            </w:pPr>
            <w:r>
              <w:rPr>
                <w:rFonts w:hint="eastAsia" w:ascii="宋体" w:hAnsi="宋体"/>
                <w:kern w:val="0"/>
                <w:sz w:val="22"/>
                <w:szCs w:val="22"/>
              </w:rPr>
              <w:t>2</w:t>
            </w:r>
          </w:p>
        </w:tc>
        <w:tc>
          <w:tcPr>
            <w:tcW w:w="930"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不按国家规定的防护标准和质量标准修建人民防空工程的处罚。</w:t>
            </w:r>
          </w:p>
        </w:tc>
        <w:tc>
          <w:tcPr>
            <w:tcW w:w="249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1.《中华人民共和国人民防空法》第二十二条：城市新建民用建筑，按照国家有关规定修建战时可用于防空的地下室。</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十六条：城市规划区内新建民用建筑，各类开发区、工业园区、保税区、重要经济目标区和高校新校区新建民用建筑，应当按照国家有关要求和标准修建战时可用于防空的地下室（以下简称防空地下室）。</w:t>
            </w:r>
          </w:p>
          <w:p>
            <w:pPr>
              <w:widowControl/>
              <w:snapToGrid w:val="0"/>
              <w:rPr>
                <w:rFonts w:ascii="仿宋_GB2312" w:hAnsi="宋体"/>
                <w:sz w:val="20"/>
                <w:szCs w:val="20"/>
              </w:rPr>
            </w:pPr>
          </w:p>
        </w:tc>
        <w:tc>
          <w:tcPr>
            <w:tcW w:w="2788" w:type="dxa"/>
            <w:vMerge w:val="restart"/>
            <w:tcBorders>
              <w:top w:val="nil"/>
              <w:left w:val="nil"/>
              <w:bottom w:val="nil"/>
              <w:right w:val="single" w:color="000000" w:sz="4" w:space="0"/>
            </w:tcBorders>
            <w:vAlign w:val="center"/>
          </w:tcPr>
          <w:p>
            <w:pPr>
              <w:widowControl/>
              <w:snapToGrid w:val="0"/>
              <w:rPr>
                <w:rFonts w:ascii="仿宋_GB2312" w:hAnsi="宋体"/>
                <w:sz w:val="20"/>
                <w:szCs w:val="20"/>
              </w:rPr>
            </w:pPr>
            <w:r>
              <w:rPr>
                <w:rFonts w:ascii="仿宋_GB2312" w:hAnsi="仿宋_GB2312"/>
                <w:sz w:val="20"/>
                <w:szCs w:val="20"/>
              </w:rPr>
              <w:t>1.《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p>
            <w:pPr>
              <w:widowControl/>
              <w:snapToGrid w:val="0"/>
              <w:rPr>
                <w:rFonts w:ascii="仿宋_GB2312" w:hAnsi="宋体"/>
                <w:sz w:val="20"/>
                <w:szCs w:val="20"/>
              </w:rPr>
            </w:pPr>
            <w:r>
              <w:rPr>
                <w:rFonts w:hint="eastAsia" w:ascii="仿宋" w:hAnsi="仿宋" w:eastAsia="仿宋" w:cs="仿宋_GB2312"/>
                <w:sz w:val="20"/>
                <w:szCs w:val="20"/>
              </w:rPr>
              <w:t>……</w:t>
            </w:r>
          </w:p>
          <w:p>
            <w:pPr>
              <w:widowControl/>
              <w:snapToGrid w:val="0"/>
              <w:rPr>
                <w:rFonts w:ascii="仿宋_GB2312" w:hAnsi="宋体"/>
                <w:sz w:val="20"/>
                <w:szCs w:val="20"/>
              </w:rPr>
            </w:pPr>
            <w:r>
              <w:rPr>
                <w:rFonts w:ascii="仿宋_GB2312" w:hAnsi="仿宋_GB2312"/>
                <w:sz w:val="20"/>
                <w:szCs w:val="20"/>
              </w:rPr>
              <w:t>（二）不按照国家规定的防护标准和质量标准修建人民防空工程的；</w:t>
            </w:r>
          </w:p>
          <w:p>
            <w:pPr>
              <w:widowControl/>
              <w:snapToGrid w:val="0"/>
              <w:rPr>
                <w:rFonts w:ascii="仿宋_GB2312" w:hAnsi="宋体"/>
                <w:sz w:val="20"/>
                <w:szCs w:val="20"/>
              </w:rPr>
            </w:pPr>
            <w:r>
              <w:rPr>
                <w:rFonts w:ascii="仿宋_GB2312" w:hAnsi="仿宋_GB2312"/>
                <w:sz w:val="20"/>
                <w:szCs w:val="20"/>
              </w:rPr>
              <w:t>2.《广西壮族自治区实施〈中华人民共和国人民防空法〉办法》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w:t>
            </w:r>
          </w:p>
          <w:p>
            <w:pPr>
              <w:widowControl/>
              <w:snapToGrid w:val="0"/>
              <w:rPr>
                <w:rFonts w:ascii="仿宋_GB2312" w:hAnsi="宋体"/>
                <w:sz w:val="20"/>
                <w:szCs w:val="20"/>
              </w:rPr>
            </w:pPr>
            <w:r>
              <w:rPr>
                <w:rFonts w:ascii="仿宋_GB2312" w:hAnsi="仿宋_GB2312"/>
                <w:sz w:val="20"/>
                <w:szCs w:val="20"/>
              </w:rPr>
              <w:t>……</w:t>
            </w:r>
          </w:p>
          <w:p>
            <w:pPr>
              <w:widowControl/>
              <w:snapToGrid w:val="0"/>
              <w:rPr>
                <w:rFonts w:ascii="仿宋_GB2312" w:hAnsi="宋体"/>
                <w:sz w:val="20"/>
                <w:szCs w:val="20"/>
              </w:rPr>
            </w:pPr>
            <w:r>
              <w:rPr>
                <w:rFonts w:ascii="仿宋_GB2312" w:hAnsi="仿宋_GB2312"/>
                <w:sz w:val="20"/>
                <w:szCs w:val="20"/>
              </w:rPr>
              <w:t>（二）不按照国家规定的防护标准和质量标准修建人民防空工程的；</w:t>
            </w:r>
          </w:p>
          <w:p>
            <w:pPr>
              <w:widowControl/>
              <w:snapToGrid w:val="0"/>
              <w:rPr>
                <w:rFonts w:ascii="仿宋_GB2312" w:hAnsi="宋体"/>
                <w:sz w:val="20"/>
                <w:szCs w:val="20"/>
              </w:rPr>
            </w:pPr>
            <w:r>
              <w:rPr>
                <w:rFonts w:ascii="仿宋_GB2312" w:hAnsi="仿宋_GB2312"/>
                <w:sz w:val="20"/>
                <w:szCs w:val="20"/>
              </w:rPr>
              <w:t>……</w:t>
            </w:r>
          </w:p>
          <w:p>
            <w:pPr>
              <w:widowControl/>
              <w:snapToGrid w:val="0"/>
              <w:rPr>
                <w:rFonts w:ascii="仿宋_GB2312" w:hAnsi="宋体"/>
                <w:sz w:val="20"/>
                <w:szCs w:val="20"/>
              </w:rPr>
            </w:pPr>
          </w:p>
        </w:tc>
        <w:tc>
          <w:tcPr>
            <w:tcW w:w="1155" w:type="dxa"/>
            <w:tcBorders>
              <w:top w:val="single" w:color="auto" w:sz="4" w:space="0"/>
              <w:left w:val="nil"/>
              <w:bottom w:val="single" w:color="auto" w:sz="4" w:space="0"/>
              <w:right w:val="single" w:color="000000"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严重处罚</w:t>
            </w:r>
          </w:p>
        </w:tc>
        <w:tc>
          <w:tcPr>
            <w:tcW w:w="3777" w:type="dxa"/>
            <w:tcBorders>
              <w:top w:val="single" w:color="auto" w:sz="4" w:space="0"/>
              <w:left w:val="nil"/>
              <w:bottom w:val="single" w:color="auto"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1.个别分项或分部工程质量不合格，经整改后致使少建人防工程面积比例超过设计值的3%（含）或超过500平方米（含），但不影响平战转换和使用功能，且已主动足额补建或补偿损失的。</w:t>
            </w:r>
          </w:p>
          <w:p>
            <w:pPr>
              <w:widowControl/>
              <w:autoSpaceDE w:val="0"/>
              <w:snapToGrid w:val="0"/>
              <w:spacing w:line="240" w:lineRule="exact"/>
              <w:rPr>
                <w:rFonts w:ascii="仿宋_GB2312" w:hAnsi="宋体"/>
                <w:sz w:val="20"/>
                <w:szCs w:val="20"/>
              </w:rPr>
            </w:pPr>
            <w:r>
              <w:rPr>
                <w:rFonts w:ascii="仿宋_GB2312" w:hAnsi="仿宋_GB2312"/>
                <w:sz w:val="20"/>
                <w:szCs w:val="20"/>
              </w:rPr>
              <w:t>2.存在2处违反强制性条款情形，经整改后达到国家规定的防护标准和质量标准的。</w:t>
            </w:r>
          </w:p>
        </w:tc>
        <w:tc>
          <w:tcPr>
            <w:tcW w:w="1478" w:type="dxa"/>
            <w:tcBorders>
              <w:top w:val="single" w:color="auto" w:sz="4" w:space="0"/>
              <w:left w:val="nil"/>
              <w:bottom w:val="single" w:color="auto"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警告，责令限期改正，对个人并处4000元的罚款，对单位并处40000元的罚款；并依法赔偿造成的损失。</w:t>
            </w:r>
          </w:p>
        </w:tc>
      </w:tr>
      <w:tr>
        <w:tblPrEx>
          <w:tblCellMar>
            <w:top w:w="0" w:type="dxa"/>
            <w:left w:w="51" w:type="dxa"/>
            <w:bottom w:w="0" w:type="dxa"/>
            <w:right w:w="51" w:type="dxa"/>
          </w:tblCellMar>
        </w:tblPrEx>
        <w:trPr>
          <w:trHeight w:val="4380" w:hRule="atLeast"/>
          <w:jc w:val="center"/>
        </w:trPr>
        <w:tc>
          <w:tcPr>
            <w:tcW w:w="527" w:type="dxa"/>
            <w:vMerge w:val="continue"/>
            <w:tcBorders>
              <w:top w:val="nil"/>
              <w:left w:val="single" w:color="000000" w:sz="4" w:space="0"/>
              <w:bottom w:val="nil"/>
              <w:right w:val="single" w:color="000000" w:sz="4" w:space="0"/>
            </w:tcBorders>
            <w:vAlign w:val="center"/>
          </w:tcPr>
          <w:p>
            <w:pPr>
              <w:widowControl/>
              <w:jc w:val="left"/>
              <w:rPr>
                <w:rFonts w:ascii="宋体" w:hAnsi="宋体"/>
                <w:kern w:val="0"/>
                <w:sz w:val="22"/>
                <w:szCs w:val="22"/>
              </w:rPr>
            </w:pPr>
          </w:p>
        </w:tc>
        <w:tc>
          <w:tcPr>
            <w:tcW w:w="930"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5286"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2788" w:type="dxa"/>
            <w:vMerge w:val="continue"/>
            <w:tcBorders>
              <w:top w:val="nil"/>
              <w:left w:val="nil"/>
              <w:bottom w:val="nil"/>
              <w:right w:val="single" w:color="000000" w:sz="4" w:space="0"/>
            </w:tcBorders>
            <w:vAlign w:val="center"/>
          </w:tcPr>
          <w:p>
            <w:pPr>
              <w:widowControl/>
              <w:jc w:val="left"/>
              <w:rPr>
                <w:rFonts w:ascii="仿宋_GB2312" w:hAnsi="宋体"/>
                <w:sz w:val="20"/>
                <w:szCs w:val="20"/>
              </w:rPr>
            </w:pPr>
          </w:p>
        </w:tc>
        <w:tc>
          <w:tcPr>
            <w:tcW w:w="1155" w:type="dxa"/>
            <w:tcBorders>
              <w:top w:val="single" w:color="auto" w:sz="4" w:space="0"/>
              <w:left w:val="nil"/>
              <w:bottom w:val="single" w:color="000000" w:sz="4" w:space="0"/>
              <w:right w:val="single" w:color="000000" w:sz="4" w:space="0"/>
            </w:tcBorders>
            <w:noWrap/>
            <w:vAlign w:val="center"/>
          </w:tcPr>
          <w:p>
            <w:pPr>
              <w:widowControl/>
              <w:snapToGrid w:val="0"/>
              <w:jc w:val="center"/>
              <w:rPr>
                <w:rFonts w:ascii="仿宋_GB2312" w:hAnsi="宋体"/>
                <w:sz w:val="20"/>
                <w:szCs w:val="20"/>
              </w:rPr>
            </w:pPr>
            <w:r>
              <w:rPr>
                <w:rFonts w:ascii="仿宋_GB2312" w:hAnsi="仿宋_GB2312"/>
                <w:sz w:val="20"/>
                <w:szCs w:val="20"/>
              </w:rPr>
              <w:t>特别严重</w:t>
            </w:r>
          </w:p>
          <w:p>
            <w:pPr>
              <w:widowControl/>
              <w:snapToGrid w:val="0"/>
              <w:jc w:val="center"/>
              <w:rPr>
                <w:rFonts w:ascii="仿宋_GB2312" w:hAnsi="宋体"/>
                <w:sz w:val="20"/>
                <w:szCs w:val="20"/>
              </w:rPr>
            </w:pPr>
            <w:r>
              <w:rPr>
                <w:rFonts w:ascii="仿宋_GB2312" w:hAnsi="仿宋_GB2312"/>
                <w:sz w:val="20"/>
                <w:szCs w:val="20"/>
              </w:rPr>
              <w:t>处罚</w:t>
            </w:r>
          </w:p>
        </w:tc>
        <w:tc>
          <w:tcPr>
            <w:tcW w:w="3777" w:type="dxa"/>
            <w:tcBorders>
              <w:top w:val="single" w:color="auto" w:sz="4" w:space="0"/>
              <w:left w:val="nil"/>
              <w:bottom w:val="single" w:color="000000" w:sz="4" w:space="0"/>
              <w:right w:val="single" w:color="000000" w:sz="4" w:space="0"/>
            </w:tcBorders>
            <w:vAlign w:val="center"/>
          </w:tcPr>
          <w:p>
            <w:pPr>
              <w:widowControl/>
              <w:autoSpaceDE w:val="0"/>
              <w:snapToGrid w:val="0"/>
              <w:spacing w:line="240" w:lineRule="exact"/>
              <w:rPr>
                <w:rFonts w:ascii="仿宋_GB2312" w:hAnsi="宋体"/>
                <w:sz w:val="20"/>
                <w:szCs w:val="20"/>
              </w:rPr>
            </w:pPr>
            <w:r>
              <w:rPr>
                <w:rFonts w:ascii="仿宋_GB2312" w:hAnsi="仿宋_GB2312"/>
                <w:sz w:val="20"/>
                <w:szCs w:val="20"/>
              </w:rPr>
              <w:t>1.经验收评定为不合格人防工程，不具备防护功能；口部、风井等部位不合格或存在严重质量问题无改造价值或经改造后仍不能满足防护要求，造成工程永久性缺陷或报废；未委托具有相应资质的监理单位对人防工程质量实施监督，工程防护标准和质量标准难以评估的。</w:t>
            </w:r>
          </w:p>
          <w:p>
            <w:pPr>
              <w:widowControl/>
              <w:autoSpaceDE w:val="0"/>
              <w:snapToGrid w:val="0"/>
              <w:spacing w:line="240" w:lineRule="exact"/>
              <w:rPr>
                <w:rFonts w:ascii="仿宋_GB2312" w:hAnsi="宋体"/>
                <w:sz w:val="20"/>
                <w:szCs w:val="20"/>
              </w:rPr>
            </w:pPr>
            <w:r>
              <w:rPr>
                <w:rFonts w:ascii="仿宋_GB2312" w:hAnsi="仿宋_GB2312"/>
                <w:sz w:val="20"/>
                <w:szCs w:val="20"/>
              </w:rPr>
              <w:t>2.个别分项或分部工程质量不合格，经整改后，致使人防工程防护级别降低一个等级及以上，或影响平战转换和使用功能的；</w:t>
            </w:r>
          </w:p>
          <w:p>
            <w:pPr>
              <w:widowControl/>
              <w:autoSpaceDE w:val="0"/>
              <w:snapToGrid w:val="0"/>
              <w:spacing w:line="240" w:lineRule="exact"/>
              <w:rPr>
                <w:rFonts w:ascii="仿宋_GB2312" w:hAnsi="宋体"/>
                <w:sz w:val="20"/>
                <w:szCs w:val="20"/>
              </w:rPr>
            </w:pPr>
            <w:r>
              <w:rPr>
                <w:rFonts w:ascii="仿宋_GB2312" w:hAnsi="仿宋_GB2312"/>
                <w:sz w:val="20"/>
                <w:szCs w:val="20"/>
              </w:rPr>
              <w:t>3.存在3处（含）以上违反强制性条款情形，经整改后达到国家规定的防护标准和质量标准的。</w:t>
            </w:r>
          </w:p>
        </w:tc>
        <w:tc>
          <w:tcPr>
            <w:tcW w:w="1478" w:type="dxa"/>
            <w:tcBorders>
              <w:top w:val="single" w:color="auto" w:sz="4" w:space="0"/>
              <w:left w:val="nil"/>
              <w:bottom w:val="single" w:color="000000" w:sz="4" w:space="0"/>
              <w:right w:val="single" w:color="000000" w:sz="4" w:space="0"/>
            </w:tcBorders>
            <w:noWrap/>
            <w:vAlign w:val="center"/>
          </w:tcPr>
          <w:p>
            <w:pPr>
              <w:widowControl/>
              <w:snapToGrid w:val="0"/>
              <w:rPr>
                <w:rFonts w:ascii="仿宋_GB2312" w:hAnsi="宋体"/>
                <w:sz w:val="20"/>
                <w:szCs w:val="20"/>
              </w:rPr>
            </w:pPr>
            <w:r>
              <w:rPr>
                <w:rFonts w:ascii="仿宋_GB2312" w:hAnsi="仿宋_GB2312"/>
                <w:sz w:val="20"/>
                <w:szCs w:val="20"/>
              </w:rPr>
              <w:t>警告，责令限期改正（补建人防工程），对个人并处5000元的罚款，对单位并处50000元的罚款；并依法赔偿造成的损失。</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7015F"/>
    <w:rsid w:val="004714E7"/>
    <w:rsid w:val="00827367"/>
    <w:rsid w:val="0087015F"/>
    <w:rsid w:val="00AE20EA"/>
    <w:rsid w:val="40360E64"/>
    <w:rsid w:val="6EC1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uiPriority w:val="99"/>
    <w:pPr>
      <w:ind w:firstLine="420" w:firstLineChars="200"/>
    </w:pPr>
  </w:style>
  <w:style w:type="paragraph" w:styleId="3">
    <w:name w:val="Balloon Text"/>
    <w:basedOn w:val="1"/>
    <w:link w:val="7"/>
    <w:semiHidden/>
    <w:unhideWhenUsed/>
    <w:qFormat/>
    <w:uiPriority w:val="99"/>
    <w:rPr>
      <w:sz w:val="18"/>
      <w:szCs w:val="18"/>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批注框文本 Char"/>
    <w:basedOn w:val="6"/>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1617</Words>
  <Characters>9221</Characters>
  <Lines>76</Lines>
  <Paragraphs>21</Paragraphs>
  <TotalTime>108</TotalTime>
  <ScaleCrop>false</ScaleCrop>
  <LinksUpToDate>false</LinksUpToDate>
  <CharactersWithSpaces>10817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2023-11-07T03:04:00Z</dcterms:created>
  <dc:creator>rfbhfb</dc:creator>
  <cp:lastModifiedBy>大虫的wps</cp:lastModifiedBy>
  <cp:lastPrinted>2023-11-07T03:08:00Z</cp:lastPrinted>
  <dcterms:modified xsi:type="dcterms:W3CDTF">2023-11-08T08:45:21Z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E44503F0F4FC4C6B9FD8B121551FB85A_13</vt:lpwstr>
  </property>
</Properties>
</file>