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spacing w:line="596" w:lineRule="exact"/>
        <w:ind w:firstLine="0" w:firstLineChars="0"/>
        <w:rPr>
          <w:rFonts w:ascii="方正黑体_GBK" w:hAnsi="方正黑体_GBK" w:eastAsia="方正黑体_GBK"/>
          <w:sz w:val="32"/>
          <w:szCs w:val="32"/>
        </w:rPr>
      </w:pPr>
      <w:bookmarkStart w:id="0" w:name="_GoBack"/>
      <w:r>
        <w:rPr>
          <w:rFonts w:hint="eastAsia" w:ascii="方正黑体_GBK" w:hAnsi="方正黑体_GBK" w:eastAsia="方正黑体_GBK"/>
          <w:sz w:val="32"/>
          <w:szCs w:val="32"/>
        </w:rPr>
        <w:t>附件3</w:t>
      </w:r>
    </w:p>
    <w:p>
      <w:pPr>
        <w:rPr>
          <w:rFonts w:hint="eastAsia" w:ascii="方正黑体_GBK" w:hAnsi="方正黑体_GBK" w:eastAsia="方正黑体_GBK"/>
          <w:sz w:val="32"/>
          <w:szCs w:val="32"/>
        </w:rPr>
      </w:pPr>
      <w:r>
        <w:rPr>
          <w:rFonts w:hint="eastAsia" w:ascii="方正黑体_GBK" w:hAnsi="方正黑体_GBK" w:eastAsia="方正黑体_GBK"/>
          <w:sz w:val="32"/>
          <w:szCs w:val="32"/>
        </w:rPr>
        <w:t xml:space="preserve"> </w:t>
      </w:r>
    </w:p>
    <w:p>
      <w:pPr>
        <w:autoSpaceDE w:val="0"/>
        <w:spacing w:after="156" w:afterLines="5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广西壮族自治区国防动员（人民防空）行政许可裁量基准（试行）</w:t>
      </w:r>
    </w:p>
    <w:bookmarkEnd w:id="0"/>
    <w:tbl>
      <w:tblPr>
        <w:tblStyle w:val="4"/>
        <w:tblW w:w="13206"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63"/>
        <w:gridCol w:w="842"/>
        <w:gridCol w:w="759"/>
        <w:gridCol w:w="924"/>
        <w:gridCol w:w="890"/>
        <w:gridCol w:w="875"/>
        <w:gridCol w:w="3193"/>
        <w:gridCol w:w="808"/>
        <w:gridCol w:w="940"/>
        <w:gridCol w:w="2468"/>
        <w:gridCol w:w="10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3" w:hRule="atLeast"/>
        </w:trPr>
        <w:tc>
          <w:tcPr>
            <w:tcW w:w="463" w:type="dxa"/>
            <w:tcBorders>
              <w:top w:val="inset" w:color="auto" w:sz="6" w:space="0"/>
              <w:left w:val="inset" w:color="auto" w:sz="6" w:space="0"/>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序号</w:t>
            </w:r>
          </w:p>
        </w:tc>
        <w:tc>
          <w:tcPr>
            <w:tcW w:w="842"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项目</w:t>
            </w:r>
          </w:p>
          <w:p>
            <w:pPr>
              <w:autoSpaceDE w:val="0"/>
              <w:ind w:left="105" w:leftChars="50" w:right="105" w:rightChars="50"/>
              <w:jc w:val="center"/>
              <w:rPr>
                <w:rFonts w:ascii="黑体" w:hAnsi="黑体" w:eastAsia="黑体"/>
              </w:rPr>
            </w:pPr>
            <w:r>
              <w:rPr>
                <w:rFonts w:hint="eastAsia" w:ascii="黑体" w:hAnsi="黑体" w:eastAsia="黑体"/>
              </w:rPr>
              <w:t>名称</w:t>
            </w:r>
          </w:p>
        </w:tc>
        <w:tc>
          <w:tcPr>
            <w:tcW w:w="759"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行使层级</w:t>
            </w:r>
          </w:p>
        </w:tc>
        <w:tc>
          <w:tcPr>
            <w:tcW w:w="924"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自治区</w:t>
            </w:r>
          </w:p>
          <w:p>
            <w:pPr>
              <w:autoSpaceDE w:val="0"/>
              <w:ind w:left="105" w:leftChars="50" w:right="105" w:rightChars="50"/>
              <w:jc w:val="center"/>
              <w:rPr>
                <w:rFonts w:hint="eastAsia" w:ascii="黑体" w:hAnsi="黑体" w:eastAsia="黑体"/>
              </w:rPr>
            </w:pPr>
            <w:r>
              <w:rPr>
                <w:rFonts w:hint="eastAsia" w:ascii="黑体" w:hAnsi="黑体" w:eastAsia="黑体"/>
              </w:rPr>
              <w:t>级办理</w:t>
            </w:r>
          </w:p>
          <w:p>
            <w:pPr>
              <w:autoSpaceDE w:val="0"/>
              <w:ind w:left="105" w:leftChars="50" w:right="105" w:rightChars="50"/>
              <w:jc w:val="center"/>
              <w:rPr>
                <w:rFonts w:ascii="黑体" w:hAnsi="黑体" w:eastAsia="黑体"/>
              </w:rPr>
            </w:pPr>
            <w:r>
              <w:rPr>
                <w:rFonts w:hint="eastAsia" w:ascii="黑体" w:hAnsi="黑体" w:eastAsia="黑体"/>
              </w:rPr>
              <w:t>部门</w:t>
            </w:r>
          </w:p>
        </w:tc>
        <w:tc>
          <w:tcPr>
            <w:tcW w:w="890"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法定办理时限（工作日）</w:t>
            </w:r>
          </w:p>
        </w:tc>
        <w:tc>
          <w:tcPr>
            <w:tcW w:w="875"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承诺审批时限（工作日）</w:t>
            </w:r>
          </w:p>
        </w:tc>
        <w:tc>
          <w:tcPr>
            <w:tcW w:w="3193"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办理条件</w:t>
            </w:r>
          </w:p>
        </w:tc>
        <w:tc>
          <w:tcPr>
            <w:tcW w:w="808"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办件</w:t>
            </w:r>
          </w:p>
          <w:p>
            <w:pPr>
              <w:autoSpaceDE w:val="0"/>
              <w:ind w:left="105" w:leftChars="50" w:right="105" w:rightChars="50"/>
              <w:jc w:val="center"/>
              <w:rPr>
                <w:rFonts w:ascii="黑体" w:hAnsi="黑体" w:eastAsia="黑体"/>
              </w:rPr>
            </w:pPr>
            <w:r>
              <w:rPr>
                <w:rFonts w:hint="eastAsia" w:ascii="黑体" w:hAnsi="黑体" w:eastAsia="黑体"/>
              </w:rPr>
              <w:t>类型</w:t>
            </w:r>
          </w:p>
        </w:tc>
        <w:tc>
          <w:tcPr>
            <w:tcW w:w="940"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行政许可证件名称</w:t>
            </w:r>
          </w:p>
        </w:tc>
        <w:tc>
          <w:tcPr>
            <w:tcW w:w="2468"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申请材料</w:t>
            </w:r>
          </w:p>
        </w:tc>
        <w:tc>
          <w:tcPr>
            <w:tcW w:w="1044"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黑体" w:hAnsi="黑体" w:eastAsia="黑体"/>
              </w:rPr>
            </w:pPr>
            <w:r>
              <w:rPr>
                <w:rFonts w:hint="eastAsia" w:ascii="黑体" w:hAnsi="黑体" w:eastAsia="黑体"/>
              </w:rPr>
              <w:t>办理</w:t>
            </w:r>
          </w:p>
          <w:p>
            <w:pPr>
              <w:autoSpaceDE w:val="0"/>
              <w:ind w:left="105" w:leftChars="50" w:right="105" w:rightChars="50"/>
              <w:jc w:val="center"/>
              <w:rPr>
                <w:rFonts w:ascii="黑体" w:hAnsi="黑体" w:eastAsia="黑体"/>
              </w:rPr>
            </w:pPr>
            <w:r>
              <w:rPr>
                <w:rFonts w:hint="eastAsia" w:ascii="黑体" w:hAnsi="黑体" w:eastAsia="黑体"/>
              </w:rPr>
              <w:t>流程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6" w:hRule="atLeast"/>
        </w:trPr>
        <w:tc>
          <w:tcPr>
            <w:tcW w:w="463" w:type="dxa"/>
            <w:tcBorders>
              <w:top w:val="inset" w:color="auto" w:sz="6" w:space="0"/>
              <w:left w:val="inset" w:color="auto" w:sz="6" w:space="0"/>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1</w:t>
            </w:r>
          </w:p>
        </w:tc>
        <w:tc>
          <w:tcPr>
            <w:tcW w:w="842"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应建防空地下室的民用建筑项目报建审批</w:t>
            </w:r>
          </w:p>
        </w:tc>
        <w:tc>
          <w:tcPr>
            <w:tcW w:w="759"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自治区、市、县</w:t>
            </w:r>
          </w:p>
        </w:tc>
        <w:tc>
          <w:tcPr>
            <w:tcW w:w="924"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自治区国防动员办公室（人民防空办公室）</w:t>
            </w:r>
          </w:p>
        </w:tc>
        <w:tc>
          <w:tcPr>
            <w:tcW w:w="890"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20</w:t>
            </w:r>
          </w:p>
        </w:tc>
        <w:tc>
          <w:tcPr>
            <w:tcW w:w="875"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1</w:t>
            </w:r>
          </w:p>
        </w:tc>
        <w:tc>
          <w:tcPr>
            <w:tcW w:w="3193" w:type="dxa"/>
            <w:tcBorders>
              <w:top w:val="inset" w:color="auto" w:sz="6" w:space="0"/>
              <w:left w:val="nil"/>
              <w:bottom w:val="inset" w:color="auto" w:sz="6" w:space="0"/>
              <w:right w:val="inset" w:color="auto" w:sz="6" w:space="0"/>
            </w:tcBorders>
            <w:shd w:val="clear" w:color="auto" w:fill="FFFFFF"/>
            <w:vAlign w:val="center"/>
          </w:tcPr>
          <w:p>
            <w:pPr>
              <w:autoSpaceDE w:val="0"/>
              <w:spacing w:line="280" w:lineRule="exact"/>
              <w:ind w:left="105" w:leftChars="50" w:right="105" w:rightChars="50"/>
              <w:rPr>
                <w:rFonts w:ascii="仿宋" w:hAnsi="仿宋" w:eastAsia="仿宋"/>
              </w:rPr>
            </w:pPr>
            <w:r>
              <w:rPr>
                <w:rFonts w:hint="eastAsia" w:ascii="仿宋" w:hAnsi="仿宋" w:eastAsia="仿宋"/>
              </w:rPr>
              <w:t>1.中共中央国务院中央军委关于加强人民防空工作的决定（三）9城市及城市规划区内的新建民用建筑,必须依法同步建设防空地下室…。</w:t>
            </w:r>
          </w:p>
          <w:p>
            <w:pPr>
              <w:autoSpaceDE w:val="0"/>
              <w:spacing w:line="280" w:lineRule="exact"/>
              <w:ind w:left="105" w:leftChars="50" w:right="105" w:rightChars="50"/>
              <w:rPr>
                <w:rFonts w:ascii="仿宋" w:hAnsi="仿宋" w:eastAsia="仿宋"/>
              </w:rPr>
            </w:pPr>
            <w:r>
              <w:rPr>
                <w:rFonts w:hint="eastAsia" w:ascii="仿宋" w:hAnsi="仿宋" w:eastAsia="仿宋"/>
              </w:rPr>
              <w:t>2.《中华人民共和国人民防空法》第二十二条</w:t>
            </w:r>
            <w:r>
              <w:rPr>
                <w:rFonts w:hint="eastAsia" w:ascii="宋体" w:hAnsi="宋体"/>
              </w:rPr>
              <w:t xml:space="preserve"> </w:t>
            </w:r>
            <w:r>
              <w:rPr>
                <w:rFonts w:hint="eastAsia" w:ascii="仿宋" w:hAnsi="仿宋" w:eastAsia="仿宋"/>
              </w:rPr>
              <w:t>城市新建民用建筑，按照国家有关规定修建战时可用于防空的地下室。</w:t>
            </w:r>
            <w:r>
              <w:rPr>
                <w:rFonts w:hint="eastAsia" w:ascii="仿宋" w:hAnsi="仿宋" w:eastAsia="仿宋"/>
              </w:rPr>
              <w:br w:type="textWrapping"/>
            </w:r>
            <w:r>
              <w:rPr>
                <w:rFonts w:hint="eastAsia" w:ascii="仿宋" w:hAnsi="仿宋" w:eastAsia="仿宋"/>
              </w:rPr>
              <w:t>3.《广西壮族自治区实施〈中华人民共和国人民防空法〉办法》第二十二条 人民防空主管部门参与对应建防空地下室的新建民用建筑项目的报建联审，负责防空地下室的防护设计审查；未经审查或者审查不合格的，住房城乡建设（规划）主管部门不得核发建设工程规划许可证、施工许可证。</w:t>
            </w:r>
          </w:p>
        </w:tc>
        <w:tc>
          <w:tcPr>
            <w:tcW w:w="808"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rPr>
                <w:rFonts w:ascii="仿宋" w:hAnsi="仿宋" w:eastAsia="仿宋"/>
              </w:rPr>
            </w:pPr>
            <w:r>
              <w:rPr>
                <w:rFonts w:hint="eastAsia" w:ascii="仿宋" w:hAnsi="仿宋" w:eastAsia="仿宋"/>
              </w:rPr>
              <w:t>承诺件</w:t>
            </w:r>
          </w:p>
        </w:tc>
        <w:tc>
          <w:tcPr>
            <w:tcW w:w="940"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rPr>
                <w:rFonts w:ascii="仿宋" w:hAnsi="仿宋" w:eastAsia="仿宋"/>
              </w:rPr>
            </w:pPr>
            <w:r>
              <w:rPr>
                <w:rFonts w:hint="eastAsia" w:ascii="仿宋" w:hAnsi="仿宋" w:eastAsia="仿宋"/>
              </w:rPr>
              <w:t>防空地下室防护设计审查意见书</w:t>
            </w:r>
          </w:p>
        </w:tc>
        <w:tc>
          <w:tcPr>
            <w:tcW w:w="2468" w:type="dxa"/>
            <w:tcBorders>
              <w:top w:val="inset" w:color="auto" w:sz="6" w:space="0"/>
              <w:left w:val="nil"/>
              <w:bottom w:val="inset" w:color="auto" w:sz="6" w:space="0"/>
              <w:right w:val="inset" w:color="auto" w:sz="6" w:space="0"/>
            </w:tcBorders>
            <w:shd w:val="clear" w:color="auto" w:fill="FFFFFF"/>
            <w:vAlign w:val="center"/>
          </w:tcPr>
          <w:p>
            <w:pPr>
              <w:autoSpaceDE w:val="0"/>
              <w:spacing w:line="280" w:lineRule="exact"/>
              <w:ind w:left="105" w:leftChars="50" w:right="105" w:rightChars="50"/>
              <w:rPr>
                <w:rFonts w:ascii="仿宋" w:hAnsi="仿宋" w:eastAsia="仿宋"/>
              </w:rPr>
            </w:pPr>
            <w:r>
              <w:rPr>
                <w:rFonts w:hint="eastAsia" w:ascii="仿宋" w:hAnsi="仿宋" w:eastAsia="仿宋"/>
              </w:rPr>
              <w:t>1.广西防空地下室防护设计规划许可审查申请表；</w:t>
            </w:r>
          </w:p>
          <w:p>
            <w:pPr>
              <w:autoSpaceDE w:val="0"/>
              <w:spacing w:line="280" w:lineRule="exact"/>
              <w:ind w:left="105" w:leftChars="50" w:right="105" w:rightChars="50"/>
              <w:rPr>
                <w:rFonts w:hint="eastAsia" w:ascii="仿宋" w:hAnsi="仿宋" w:eastAsia="仿宋"/>
              </w:rPr>
            </w:pPr>
            <w:r>
              <w:rPr>
                <w:rFonts w:hint="eastAsia" w:ascii="仿宋" w:hAnsi="仿宋" w:eastAsia="仿宋"/>
              </w:rPr>
              <w:t>2.经批准的规划总平图、人防规划总平图（疏散半径）；</w:t>
            </w:r>
          </w:p>
          <w:p>
            <w:pPr>
              <w:autoSpaceDE w:val="0"/>
              <w:spacing w:line="280" w:lineRule="exact"/>
              <w:ind w:left="105" w:leftChars="50" w:right="105" w:rightChars="50"/>
              <w:rPr>
                <w:rFonts w:hint="eastAsia" w:ascii="仿宋" w:hAnsi="仿宋" w:eastAsia="仿宋"/>
              </w:rPr>
            </w:pPr>
            <w:r>
              <w:rPr>
                <w:rFonts w:hint="eastAsia" w:ascii="仿宋" w:hAnsi="仿宋" w:eastAsia="仿宋"/>
              </w:rPr>
              <w:t>3.广西壮族自治区防空地下室易地建设费减免审批表；</w:t>
            </w:r>
          </w:p>
          <w:p>
            <w:pPr>
              <w:autoSpaceDE w:val="0"/>
              <w:spacing w:line="280" w:lineRule="exact"/>
              <w:ind w:left="105" w:leftChars="50" w:right="105" w:rightChars="50"/>
              <w:rPr>
                <w:rFonts w:hint="eastAsia" w:ascii="仿宋" w:hAnsi="仿宋" w:eastAsia="仿宋"/>
              </w:rPr>
            </w:pPr>
            <w:r>
              <w:rPr>
                <w:rFonts w:hint="eastAsia" w:ascii="仿宋" w:hAnsi="仿宋" w:eastAsia="仿宋"/>
              </w:rPr>
              <w:t>4.申请减免防空地下室易地建设费的证明材料；</w:t>
            </w:r>
          </w:p>
          <w:p>
            <w:pPr>
              <w:autoSpaceDE w:val="0"/>
              <w:spacing w:line="280" w:lineRule="exact"/>
              <w:ind w:left="105" w:leftChars="50" w:right="105" w:rightChars="50"/>
              <w:rPr>
                <w:rFonts w:hint="eastAsia" w:ascii="仿宋" w:hAnsi="仿宋" w:eastAsia="仿宋"/>
              </w:rPr>
            </w:pPr>
            <w:r>
              <w:rPr>
                <w:rFonts w:hint="eastAsia" w:ascii="仿宋" w:hAnsi="仿宋" w:eastAsia="仿宋"/>
              </w:rPr>
              <w:t>5.申请单位营业执照；</w:t>
            </w:r>
          </w:p>
          <w:p>
            <w:pPr>
              <w:autoSpaceDE w:val="0"/>
              <w:spacing w:line="280" w:lineRule="exact"/>
              <w:ind w:left="105" w:leftChars="50" w:right="105" w:rightChars="50"/>
              <w:rPr>
                <w:rFonts w:hint="eastAsia" w:ascii="仿宋" w:hAnsi="仿宋" w:eastAsia="仿宋"/>
              </w:rPr>
            </w:pPr>
            <w:r>
              <w:rPr>
                <w:rFonts w:hint="eastAsia" w:ascii="仿宋" w:hAnsi="仿宋" w:eastAsia="仿宋"/>
              </w:rPr>
              <w:t>6.建设项目立项批文或者投资备案证明（单独申报时提供）；</w:t>
            </w:r>
          </w:p>
          <w:p>
            <w:pPr>
              <w:autoSpaceDE w:val="0"/>
              <w:spacing w:line="280" w:lineRule="exact"/>
              <w:ind w:left="105" w:leftChars="50" w:right="105" w:rightChars="50"/>
              <w:rPr>
                <w:rFonts w:ascii="仿宋" w:hAnsi="仿宋" w:eastAsia="仿宋"/>
              </w:rPr>
            </w:pPr>
            <w:r>
              <w:rPr>
                <w:rFonts w:hint="eastAsia" w:ascii="仿宋" w:hAnsi="仿宋" w:eastAsia="仿宋"/>
              </w:rPr>
              <w:t>7.申请易地建设的项目证明材料（申请减免易地建设费项目同时须提供）。</w:t>
            </w:r>
          </w:p>
        </w:tc>
        <w:tc>
          <w:tcPr>
            <w:tcW w:w="1044"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rPr>
                <w:rFonts w:ascii="仿宋" w:hAnsi="仿宋" w:eastAsia="仿宋"/>
              </w:rPr>
            </w:pPr>
            <w:r>
              <w:rPr>
                <w:rFonts w:hint="eastAsia" w:ascii="仿宋" w:hAnsi="仿宋" w:eastAsia="仿宋"/>
              </w:rPr>
              <w:t>受理、审查、决定共1个工作日。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46" w:hRule="atLeast"/>
        </w:trPr>
        <w:tc>
          <w:tcPr>
            <w:tcW w:w="463" w:type="dxa"/>
            <w:tcBorders>
              <w:top w:val="inset" w:color="auto" w:sz="6" w:space="0"/>
              <w:left w:val="inset" w:color="auto" w:sz="6" w:space="0"/>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2</w:t>
            </w:r>
          </w:p>
        </w:tc>
        <w:tc>
          <w:tcPr>
            <w:tcW w:w="842"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拆除人民防空工程审批</w:t>
            </w:r>
          </w:p>
        </w:tc>
        <w:tc>
          <w:tcPr>
            <w:tcW w:w="759"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自治区、市、县</w:t>
            </w:r>
          </w:p>
        </w:tc>
        <w:tc>
          <w:tcPr>
            <w:tcW w:w="924"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自治区国防动员办公室（人民防空办公室）</w:t>
            </w:r>
          </w:p>
        </w:tc>
        <w:tc>
          <w:tcPr>
            <w:tcW w:w="890"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20</w:t>
            </w:r>
          </w:p>
        </w:tc>
        <w:tc>
          <w:tcPr>
            <w:tcW w:w="875"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jc w:val="center"/>
              <w:rPr>
                <w:rFonts w:ascii="仿宋" w:hAnsi="仿宋" w:eastAsia="仿宋"/>
              </w:rPr>
            </w:pPr>
            <w:r>
              <w:rPr>
                <w:rFonts w:hint="eastAsia" w:ascii="仿宋" w:hAnsi="仿宋" w:eastAsia="仿宋"/>
              </w:rPr>
              <w:t>4</w:t>
            </w:r>
          </w:p>
        </w:tc>
        <w:tc>
          <w:tcPr>
            <w:tcW w:w="3193" w:type="dxa"/>
            <w:tcBorders>
              <w:top w:val="inset" w:color="auto" w:sz="6" w:space="0"/>
              <w:left w:val="nil"/>
              <w:bottom w:val="inset" w:color="auto" w:sz="6" w:space="0"/>
              <w:right w:val="inset" w:color="auto" w:sz="6" w:space="0"/>
            </w:tcBorders>
            <w:shd w:val="clear" w:color="auto" w:fill="FFFFFF"/>
            <w:vAlign w:val="center"/>
          </w:tcPr>
          <w:p>
            <w:pPr>
              <w:autoSpaceDE w:val="0"/>
              <w:spacing w:line="210" w:lineRule="exact"/>
              <w:ind w:left="105" w:leftChars="50" w:right="105" w:rightChars="50"/>
              <w:rPr>
                <w:rFonts w:ascii="仿宋" w:hAnsi="仿宋" w:eastAsia="仿宋"/>
              </w:rPr>
            </w:pPr>
            <w:r>
              <w:rPr>
                <w:rFonts w:hint="eastAsia" w:ascii="仿宋" w:hAnsi="仿宋" w:eastAsia="仿宋"/>
              </w:rPr>
              <w:t>1.《中华人民共和国人民防空法》第二十八条 任何组织或者个人不得擅自拆除本法第二十一条规定的人民防空工程；确需拆除的，必须报经人民防空主管部门批准，并由拆除单位负责补建或补偿。</w:t>
            </w:r>
          </w:p>
          <w:p>
            <w:pPr>
              <w:autoSpaceDE w:val="0"/>
              <w:spacing w:line="210" w:lineRule="exact"/>
              <w:ind w:left="105" w:leftChars="50" w:right="105" w:rightChars="50"/>
              <w:rPr>
                <w:rFonts w:hint="eastAsia" w:ascii="仿宋" w:hAnsi="仿宋" w:eastAsia="仿宋"/>
              </w:rPr>
            </w:pPr>
            <w:r>
              <w:rPr>
                <w:rFonts w:hint="eastAsia" w:ascii="仿宋" w:hAnsi="仿宋" w:eastAsia="仿宋"/>
              </w:rPr>
              <w:t>2.广西壮族自治区实施《人民防空法》办法第三十二条 确需拆除人民防空工程的，应当报经有管理权限的人民防空主管部门批准。拆除单位应当在批准的期限内按照不少于原面积、不低于原防护等级的人民防空工程的标准补建或者按照易地建设收费标准予以补偿。</w:t>
            </w:r>
          </w:p>
          <w:p>
            <w:pPr>
              <w:autoSpaceDE w:val="0"/>
              <w:spacing w:line="210" w:lineRule="exact"/>
              <w:ind w:left="105" w:leftChars="50" w:right="105" w:rightChars="50"/>
              <w:rPr>
                <w:rFonts w:ascii="仿宋" w:hAnsi="仿宋" w:eastAsia="仿宋"/>
              </w:rPr>
            </w:pPr>
            <w:r>
              <w:rPr>
                <w:rFonts w:hint="eastAsia" w:ascii="仿宋" w:hAnsi="仿宋" w:eastAsia="仿宋"/>
              </w:rPr>
              <w:t>3.《广西壮族自治区人民防空工程建设与维护管理办法》第十九条 经人民防空主管部门依照法定权限审批准予拆除的人民防空工程，拆除单位应当在规定的期限内补建不少于原拆除面积的人民防空工程。拆除等级人民防空工程的，应当按照不低于原工程抗力级别的标准补建；拆除非等级人民防空工程的，应当按照6 级的人民防空工程抗力级别的标准补建。因条件限制不能补建的，拆除单位应当按照拆除工程时的实际造价和面积缴纳易地建设费，不能确定实际造价的按工程所在地6 级防空地下室的标准缴纳易地建设费，由人民防空主管部门负责统一组织易地补建。</w:t>
            </w:r>
          </w:p>
        </w:tc>
        <w:tc>
          <w:tcPr>
            <w:tcW w:w="808"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rPr>
                <w:rFonts w:ascii="仿宋" w:hAnsi="仿宋" w:eastAsia="仿宋"/>
              </w:rPr>
            </w:pPr>
            <w:r>
              <w:rPr>
                <w:rFonts w:hint="eastAsia" w:ascii="仿宋" w:hAnsi="仿宋" w:eastAsia="仿宋"/>
              </w:rPr>
              <w:t>承诺件</w:t>
            </w:r>
          </w:p>
        </w:tc>
        <w:tc>
          <w:tcPr>
            <w:tcW w:w="940"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rPr>
                <w:rFonts w:ascii="仿宋" w:hAnsi="仿宋" w:eastAsia="仿宋"/>
              </w:rPr>
            </w:pPr>
            <w:r>
              <w:rPr>
                <w:rFonts w:hint="eastAsia" w:ascii="仿宋" w:hAnsi="仿宋" w:eastAsia="仿宋"/>
              </w:rPr>
              <w:t>关于拆除人防工程的批复</w:t>
            </w:r>
          </w:p>
        </w:tc>
        <w:tc>
          <w:tcPr>
            <w:tcW w:w="2468"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rPr>
                <w:rFonts w:ascii="仿宋" w:hAnsi="仿宋" w:eastAsia="仿宋"/>
              </w:rPr>
            </w:pPr>
            <w:r>
              <w:rPr>
                <w:rFonts w:hint="eastAsia" w:ascii="仿宋" w:hAnsi="仿宋" w:eastAsia="仿宋"/>
              </w:rPr>
              <w:t>1．广西壮族自治区人民防空工程拆除审批表；</w:t>
            </w:r>
          </w:p>
          <w:p>
            <w:pPr>
              <w:autoSpaceDE w:val="0"/>
              <w:ind w:left="105" w:leftChars="50" w:right="105" w:rightChars="50"/>
              <w:rPr>
                <w:rFonts w:hint="eastAsia" w:ascii="仿宋" w:hAnsi="仿宋" w:eastAsia="仿宋"/>
              </w:rPr>
            </w:pPr>
            <w:r>
              <w:rPr>
                <w:rFonts w:hint="eastAsia" w:ascii="仿宋" w:hAnsi="仿宋" w:eastAsia="仿宋"/>
              </w:rPr>
              <w:t>2.新建设项目立项批文或备案证明、规划部门批准的规划红线或总平复印件；</w:t>
            </w:r>
          </w:p>
          <w:p>
            <w:pPr>
              <w:autoSpaceDE w:val="0"/>
              <w:ind w:left="105" w:leftChars="50" w:right="105" w:rightChars="50"/>
              <w:rPr>
                <w:rFonts w:ascii="仿宋" w:hAnsi="仿宋" w:eastAsia="仿宋"/>
              </w:rPr>
            </w:pPr>
            <w:r>
              <w:rPr>
                <w:rFonts w:hint="eastAsia" w:ascii="仿宋" w:hAnsi="仿宋" w:eastAsia="仿宋"/>
              </w:rPr>
              <w:t>3.需拆除的工程平面位置示意图和工程平面图</w:t>
            </w:r>
          </w:p>
        </w:tc>
        <w:tc>
          <w:tcPr>
            <w:tcW w:w="1044" w:type="dxa"/>
            <w:tcBorders>
              <w:top w:val="inset" w:color="auto" w:sz="6" w:space="0"/>
              <w:left w:val="nil"/>
              <w:bottom w:val="inset" w:color="auto" w:sz="6" w:space="0"/>
              <w:right w:val="inset" w:color="auto" w:sz="6" w:space="0"/>
            </w:tcBorders>
            <w:shd w:val="clear" w:color="auto" w:fill="FFFFFF"/>
            <w:vAlign w:val="center"/>
          </w:tcPr>
          <w:p>
            <w:pPr>
              <w:autoSpaceDE w:val="0"/>
              <w:ind w:left="105" w:leftChars="50" w:right="105" w:rightChars="50"/>
              <w:rPr>
                <w:rFonts w:ascii="仿宋" w:hAnsi="仿宋" w:eastAsia="仿宋"/>
              </w:rPr>
            </w:pPr>
            <w:r>
              <w:rPr>
                <w:rFonts w:hint="eastAsia" w:ascii="仿宋" w:hAnsi="仿宋" w:eastAsia="仿宋"/>
              </w:rPr>
              <w:t>1.受理：1个工作日；</w:t>
            </w:r>
            <w:r>
              <w:rPr>
                <w:rFonts w:hint="eastAsia" w:ascii="宋体" w:hAnsi="宋体"/>
              </w:rPr>
              <w:t> </w:t>
            </w:r>
            <w:r>
              <w:rPr>
                <w:rFonts w:hint="eastAsia" w:ascii="仿宋" w:hAnsi="仿宋" w:eastAsia="仿宋"/>
              </w:rPr>
              <w:br w:type="textWrapping"/>
            </w:r>
            <w:r>
              <w:rPr>
                <w:rFonts w:hint="eastAsia" w:ascii="仿宋" w:hAnsi="仿宋" w:eastAsia="仿宋"/>
              </w:rPr>
              <w:t>2.审查：2个工作日；</w:t>
            </w:r>
            <w:r>
              <w:rPr>
                <w:rFonts w:hint="eastAsia" w:ascii="宋体" w:hAnsi="宋体"/>
              </w:rPr>
              <w:t> </w:t>
            </w:r>
            <w:r>
              <w:rPr>
                <w:rFonts w:hint="eastAsia" w:ascii="仿宋" w:hAnsi="仿宋" w:eastAsia="仿宋"/>
              </w:rPr>
              <w:br w:type="textWrapping"/>
            </w:r>
            <w:r>
              <w:rPr>
                <w:rFonts w:hint="eastAsia" w:ascii="仿宋" w:hAnsi="仿宋" w:eastAsia="仿宋"/>
              </w:rPr>
              <w:t>3.决定：1个工作日；</w:t>
            </w:r>
          </w:p>
        </w:tc>
      </w:tr>
    </w:tbl>
    <w:p>
      <w:pPr>
        <w:widowControl/>
        <w:jc w:val="left"/>
        <w:rPr>
          <w:rFonts w:ascii="宋体" w:hAnsi="宋体"/>
        </w:rPr>
        <w:sectPr>
          <w:pgSz w:w="16838" w:h="11906" w:orient="landscape"/>
          <w:pgMar w:top="1531" w:right="1928" w:bottom="1531" w:left="1712" w:header="851" w:footer="1440"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82016" w:usb3="00000000" w:csb0="00040001" w:csb1="00000000"/>
  </w:font>
  <w:font w:name="方正黑体简体">
    <w:altName w:val="微软雅黑"/>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87015F"/>
    <w:rsid w:val="004714E7"/>
    <w:rsid w:val="00827367"/>
    <w:rsid w:val="0087015F"/>
    <w:rsid w:val="00AE20EA"/>
    <w:rsid w:val="40360E64"/>
    <w:rsid w:val="4B955A8D"/>
    <w:rsid w:val="6EC1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nhideWhenUsed/>
    <w:uiPriority w:val="99"/>
    <w:pPr>
      <w:ind w:firstLine="420" w:firstLineChars="200"/>
    </w:pPr>
  </w:style>
  <w:style w:type="paragraph" w:styleId="3">
    <w:name w:val="Balloon Text"/>
    <w:basedOn w:val="1"/>
    <w:link w:val="7"/>
    <w:semiHidden/>
    <w:unhideWhenUsed/>
    <w:qFormat/>
    <w:uiPriority w:val="99"/>
    <w:rPr>
      <w:sz w:val="18"/>
      <w:szCs w:val="18"/>
    </w:rPr>
  </w:style>
  <w:style w:type="table" w:styleId="5">
    <w:name w:val="Table Grid"/>
    <w:basedOn w:val="4"/>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批注框文本 Char"/>
    <w:basedOn w:val="6"/>
    <w:link w:val="3"/>
    <w:semiHidden/>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1617</Words>
  <Characters>9221</Characters>
  <Lines>76</Lines>
  <Paragraphs>21</Paragraphs>
  <TotalTime>2</TotalTime>
  <ScaleCrop>false</ScaleCrop>
  <LinksUpToDate>false</LinksUpToDate>
  <CharactersWithSpaces>10817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2023-11-07T03:04:00Z</dcterms:created>
  <dc:creator>rfbhfb</dc:creator>
  <cp:lastModifiedBy>大虫的wps</cp:lastModifiedBy>
  <cp:lastPrinted>2023-11-07T03:08:00Z</cp:lastPrinted>
  <dcterms:modified xsi:type="dcterms:W3CDTF">2023-11-08T08:47:54Z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8995A47F67EA4921B68B376C43FE43A9_13</vt:lpwstr>
  </property>
</Properties>
</file>