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spacing w:line="596" w:lineRule="exact"/>
        <w:ind w:firstLine="0" w:firstLineChars="0"/>
        <w:rPr>
          <w:rFonts w:ascii="方正黑体_GBK" w:hAnsi="方正黑体_GBK" w:eastAsia="方正黑体_GBK"/>
          <w:sz w:val="32"/>
          <w:szCs w:val="32"/>
        </w:rPr>
      </w:pPr>
      <w:bookmarkStart w:id="0" w:name="_GoBack"/>
      <w:r>
        <w:rPr>
          <w:rFonts w:hint="eastAsia" w:ascii="方正黑体_GBK" w:hAnsi="方正黑体_GBK" w:eastAsia="方正黑体_GBK"/>
          <w:sz w:val="32"/>
          <w:szCs w:val="32"/>
        </w:rPr>
        <w:t>附件1</w:t>
      </w:r>
    </w:p>
    <w:p>
      <w:pPr>
        <w:pStyle w:val="2"/>
        <w:autoSpaceDE w:val="0"/>
        <w:spacing w:line="596" w:lineRule="exact"/>
        <w:ind w:firstLine="0" w:firstLineChars="0"/>
        <w:rPr>
          <w:rFonts w:hint="eastAsia" w:ascii="方正小标宋简体" w:eastAsia="方正小标宋简体"/>
          <w:i/>
          <w:spacing w:val="-20"/>
          <w:sz w:val="44"/>
          <w:szCs w:val="44"/>
        </w:rPr>
      </w:pPr>
      <w:r>
        <w:rPr>
          <w:rFonts w:hint="eastAsia" w:ascii="方正小标宋简体" w:eastAsia="方正小标宋简体"/>
          <w:i/>
          <w:spacing w:val="-20"/>
          <w:sz w:val="44"/>
          <w:szCs w:val="44"/>
        </w:rPr>
        <w:t xml:space="preserve"> </w:t>
      </w:r>
    </w:p>
    <w:p>
      <w:pPr>
        <w:pStyle w:val="2"/>
        <w:autoSpaceDE w:val="0"/>
        <w:spacing w:line="600" w:lineRule="exact"/>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广西壮族自治区国防动员（人民防空）</w:t>
      </w:r>
    </w:p>
    <w:p>
      <w:pPr>
        <w:pStyle w:val="2"/>
        <w:autoSpaceDE w:val="0"/>
        <w:spacing w:line="600" w:lineRule="exact"/>
        <w:ind w:firstLine="0" w:firstLineChars="0"/>
        <w:jc w:val="center"/>
        <w:rPr>
          <w:rFonts w:hint="eastAsia" w:ascii="方正小标宋简体" w:eastAsia="方正小标宋简体"/>
          <w:spacing w:val="-20"/>
          <w:sz w:val="44"/>
          <w:szCs w:val="44"/>
        </w:rPr>
      </w:pPr>
      <w:r>
        <w:rPr>
          <w:rFonts w:hint="eastAsia" w:ascii="方正小标宋简体" w:eastAsia="方正小标宋简体"/>
          <w:sz w:val="44"/>
          <w:szCs w:val="44"/>
        </w:rPr>
        <w:t>行政处罚裁量实施细则（试行）</w:t>
      </w:r>
    </w:p>
    <w:bookmarkEnd w:id="0"/>
    <w:p>
      <w:pPr>
        <w:spacing w:line="580" w:lineRule="exact"/>
        <w:rPr>
          <w:rFonts w:hint="eastAsia" w:ascii="仿宋" w:hAnsi="仿宋" w:eastAsia="仿宋"/>
          <w:sz w:val="32"/>
          <w:szCs w:val="32"/>
        </w:rPr>
      </w:pPr>
      <w:r>
        <w:rPr>
          <w:rFonts w:hint="eastAsia" w:ascii="仿宋" w:hAnsi="仿宋" w:eastAsia="仿宋"/>
          <w:sz w:val="32"/>
          <w:szCs w:val="32"/>
        </w:rPr>
        <w:t xml:space="preserve"> </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第一条  为了规范人民防空行政执法行为，保障公平、公正、合理行使人民防空行政处罚自由裁量权，保护当事人的合法权益，根据《中华人民共和国行政处罚法》《中华人民共和国人民防空法》《广西壮族自治区实施〈中华人民共和国人民防空法〉办法》等法律法规，结合人防行政处罚实际，制定本细则。</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第二条  本自治区县级以上人民防空主管部门依照人民防空法律法规实施行政处罚，适用本细则。法律、法规、规章另有规定的，从其规定。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第三条  本细则所称行政处罚裁量权基准，是指本自治区县级以上人民防空主管部门，在法律、法规、规章规定的处罚种类和幅度范围内，根据违法行为的事实、性质、危害程度等方面的具体情节，在确定给予处罚的种类和幅度时应当遵守的基本标准。</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第四条  行政处罚裁量权基准的适用遵循以下原则:</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（一）处罚法定。在法律、法规、规章规定的范围内实施行政处罚，做到事实清楚、证据充分、程序合法，适用法律、法规、规章正确。</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（二）公平公正。对于性质、情节、社会危害性相同或相类似的案件，适用的法律依据、处罚的种类、幅度应当基本相同。</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（三）程序正当。遵循法定程序，充分听取当事人的意见，依法保障当事人的知情权、救济权。</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（四）过罚相当。综合考虑违法案件的事实、性质、情节以及社会危害性等因素，在法律、法规、规章规定的处罚种类和幅度范围内，作出适当的行政处罚。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（五）教育与处罚相结合。通过纠正违法行为，教育、引导公民、法人或者其他组织自觉守法。</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（六）有利于行政相对人。可以适用的法律规范规定不一致的，除法律规范有特别规定的以外，按照有利于行政相对人的原则适用法律规范。</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第五条  人民防空主管部门在实施行政处罚时，对于违法事实、性质、情节、社会危害程度相同或相似的案件，适用的法律、法规和规章依据、处罚种类及处罚幅度应当相同或基本相同。</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同一时期、同一地区，对同一类违法主体实施的性质相同、情节相近或者相似、危害后果基本相当的违法行为，在实施处罚裁量时，适用的处罚种类应当基本一致，处罚幅度应当基本相当。</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第六条  同一违法行为违反了不同法律规范的，在适用法律时应当按照下列顺序选择。</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（一）法律效力高的法律规范优先适用；</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（二）效力相同的法律规范，有特别规定的优先适用；</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（三）效力相同的法律规范，生效时间在后的优先适用；</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（四）新旧法规定不一致时，遵循从旧兼从轻原则。</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第七条  行政相对人有下列情形之一的，不予行政处罚：</w:t>
      </w:r>
    </w:p>
    <w:p>
      <w:pPr>
        <w:autoSpaceDE w:val="0"/>
        <w:spacing w:line="596" w:lineRule="exact"/>
        <w:ind w:left="640"/>
        <w:rPr>
          <w:rFonts w:hint="eastAsia" w:ascii="仿宋" w:hAnsi="仿宋" w:eastAsia="仿宋"/>
          <w:sz w:val="32"/>
          <w:szCs w:val="32"/>
        </w:rPr>
      </w:pPr>
      <w:r>
        <w:rPr>
          <w:rFonts w:hint="eastAsia" w:ascii="仿宋" w:hAnsi="仿宋" w:eastAsia="仿宋"/>
          <w:sz w:val="32"/>
          <w:szCs w:val="32"/>
        </w:rPr>
        <w:t>（一）不满十四周岁的未成年人有违法行为的；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（二）精神病人在不能辨认或者不能控制自己行为时有违法行为的；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（三）违法行为轻微并及时改正，没有造成危害后果的；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（四）行政相对人有证据证明没有主观过错的；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（五）法律、行政法规另有规定的，从其规定。</w:t>
      </w:r>
    </w:p>
    <w:p>
      <w:pPr>
        <w:autoSpaceDE w:val="0"/>
        <w:spacing w:line="596" w:lineRule="exact"/>
        <w:ind w:firstLine="616" w:firstLineChars="200"/>
        <w:rPr>
          <w:rFonts w:hint="eastAsia" w:ascii="仿宋" w:hAnsi="仿宋" w:eastAsia="仿宋"/>
          <w:sz w:val="32"/>
          <w:szCs w:val="32"/>
        </w:rPr>
      </w:pPr>
      <w:r>
        <w:rPr>
          <w:rFonts w:hint="eastAsia" w:ascii="仿宋" w:hAnsi="仿宋" w:eastAsia="仿宋"/>
          <w:spacing w:val="-6"/>
          <w:sz w:val="32"/>
          <w:szCs w:val="32"/>
        </w:rPr>
        <w:t>初次违法且危害后果轻微并及时改正的，可以不予行政处罚。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第八条  其他执法部门就同一违法行为已经作出罚款行政处罚决定的，按照“一事不再罚”原则，人民防空主管部门不再给予罚款的行政处罚。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第九条  行政相对人有下列情形之一的，应当从轻或者减轻行政处罚：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spacing w:val="-6"/>
          <w:sz w:val="32"/>
          <w:szCs w:val="32"/>
        </w:rPr>
        <w:t>已满十四周岁不满十八周岁的未成年人有违法行为的；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（二）尚未完全丧失辨认或控制自己行为能力的精神病人实施违法行为的；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（三）主动消除或者减轻违法行为危害后果的；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（四）受他人胁迫或者诱骗实施违法行为的；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（五）主动供述行政机关尚未掌握的违法行为的；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（六）配合行政机关查处违法行为有立功表现的；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（七）法律法规、规章规定其他应当从轻或者减轻的。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第十条  违法行为人有下列情形之一的，可以从重处罚，在处罚幅度内从重确定：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（一）经劝告后继续实施违法行为的；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（二）对举报人、控告人、证人等打击报复的；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（三）连续多次实施同类违法行为的；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（四）</w:t>
      </w:r>
      <w:r>
        <w:rPr>
          <w:rFonts w:hint="eastAsia" w:ascii="仿宋" w:hAnsi="仿宋" w:eastAsia="仿宋"/>
          <w:spacing w:val="6"/>
          <w:sz w:val="32"/>
          <w:szCs w:val="32"/>
        </w:rPr>
        <w:t>受到行政处罚两年后再次实施相同或者相近违法行为的；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（五）逃避、扰乱、抗拒、妨碍执法的；</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（六）其他依法从重处罚的情形。</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第十一条  同时具有多个从重、从轻或者减轻情形的，应当综合考虑，在调节处罚幅度时一般采取同向调节相叠加、逆向调节相抵减的方式，也可以将对整个案情影响较大的情节作为主要考虑因素。</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同时具有从重、从轻或减轻情形的，不适用减轻处罚。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行政执法人员在调查取证时，除采集行政相对人违法的证据</w:t>
      </w:r>
      <w:r>
        <w:rPr>
          <w:rFonts w:hint="eastAsia" w:ascii="仿宋" w:hAnsi="仿宋" w:eastAsia="仿宋"/>
          <w:spacing w:val="-6"/>
          <w:sz w:val="32"/>
          <w:szCs w:val="32"/>
        </w:rPr>
        <w:t>外，还应收集行政相对人是否有从轻、减轻或从重处罚情节的证据。</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调查终结后，应当及时提出案件行政处罚的种类和幅度的建议，并说明行使裁量权的事实、理由和依据。</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第十二条  人民防空主管部门应当保证行政相对人的陈述权和申辩权，不得因行政相对人陈述、申辩而给予更重的处罚。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第十三条  违法行为在二年内未被发现的，不再给予行政处罚；涉及公民生命健康安全且有危害后果的，上述期限延长至五年。法律另有规定的除外。</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前款规定的期限，从违法行为发生之日起计算；违法行为有连续或者继续状态的，从行为终了之日起计算。</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第十四条  违法行为涉嫌构成犯罪的，应当依法移送司法机关追究刑事责任，不得以行政处罚代替刑事处罚。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第十五条  重大、复杂、疑难、情节严重或者社会影响较大的案件，应当经集体讨论作出决定，由人民防空主管部门主要负责人签发行政处罚决定书；提交集体讨论前应经部门法治机构合法性审查。</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第十六条  人民防空行政执法人员与案件有直接利害关系或者其他关系可能影响公正执法的，应当回避。</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当事人认为人民防空行政执法人员与案件有直接利害关系或者有其他关系可能影响公正执法的，有权申请回避。行政相对人提出回避申请的，由人民防空主管部门负责人决定。</w:t>
      </w:r>
    </w:p>
    <w:p>
      <w:pPr>
        <w:autoSpaceDE w:val="0"/>
        <w:spacing w:line="596" w:lineRule="exact"/>
        <w:ind w:firstLine="640" w:firstLineChars="200"/>
        <w:rPr>
          <w:rFonts w:hint="eastAsia" w:ascii="仿宋" w:hAnsi="仿宋" w:eastAsia="仿宋"/>
          <w:sz w:val="32"/>
          <w:szCs w:val="32"/>
        </w:rPr>
      </w:pPr>
      <w:r>
        <w:rPr>
          <w:rFonts w:hint="eastAsia" w:ascii="仿宋" w:hAnsi="仿宋" w:eastAsia="仿宋"/>
          <w:sz w:val="32"/>
          <w:szCs w:val="32"/>
        </w:rPr>
        <w:t>第十七条  人民防空行政执法人员在行使行政处罚裁量权时，有滥用职权、玩忽职守、徇私舞弊的，对有关责任人员依法给予处分；构成犯罪的，依法追究刑事责任。</w:t>
      </w:r>
    </w:p>
    <w:p>
      <w:pPr>
        <w:autoSpaceDE w:val="0"/>
        <w:spacing w:line="596" w:lineRule="exact"/>
        <w:ind w:firstLine="640" w:firstLineChars="200"/>
        <w:rPr>
          <w:rFonts w:ascii="方正仿宋_GBK" w:hAnsi="宋体" w:eastAsia="方正仿宋_GBK" w:cs="宋体"/>
          <w:sz w:val="32"/>
          <w:szCs w:val="32"/>
        </w:rPr>
        <w:sectPr>
          <w:pgSz w:w="11906" w:h="16838"/>
          <w:pgMar w:top="1928" w:right="1531" w:bottom="1712" w:left="1531" w:header="851" w:footer="1440" w:gutter="0"/>
          <w:cols w:space="720" w:num="1"/>
          <w:docGrid w:type="lines" w:linePitch="312" w:charSpace="0"/>
        </w:sectPr>
      </w:pPr>
      <w:r>
        <w:rPr>
          <w:rFonts w:hint="eastAsia" w:ascii="仿宋" w:hAnsi="仿宋" w:eastAsia="仿宋"/>
          <w:sz w:val="32"/>
          <w:szCs w:val="32"/>
        </w:rPr>
        <w:t>第十八条  本细则和《广西壮族自治区人民防空行政处罚裁量基准》自印发之日起施行。自治区国动办此前规定与本细则不一致的，按照本细则执行。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82016" w:usb3="00000000" w:csb0="00040001" w:csb1="00000000"/>
  </w:font>
  <w:font w:name="方正黑体简体">
    <w:altName w:val="微软雅黑"/>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87015F"/>
    <w:rsid w:val="004714E7"/>
    <w:rsid w:val="00827367"/>
    <w:rsid w:val="0087015F"/>
    <w:rsid w:val="00AE20EA"/>
    <w:rsid w:val="6EC1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nhideWhenUsed/>
    <w:uiPriority w:val="99"/>
    <w:pPr>
      <w:ind w:firstLine="420" w:firstLineChars="200"/>
    </w:pPr>
  </w:style>
  <w:style w:type="paragraph" w:styleId="3">
    <w:name w:val="Balloon Text"/>
    <w:basedOn w:val="1"/>
    <w:link w:val="7"/>
    <w:semiHidden/>
    <w:unhideWhenUsed/>
    <w:qFormat/>
    <w:uiPriority w:val="99"/>
    <w:rPr>
      <w:sz w:val="18"/>
      <w:szCs w:val="18"/>
    </w:rPr>
  </w:style>
  <w:style w:type="table" w:styleId="5">
    <w:name w:val="Table Grid"/>
    <w:basedOn w:val="4"/>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批注框文本 Char"/>
    <w:basedOn w:val="6"/>
    <w:link w:val="3"/>
    <w:semiHidden/>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1617</Words>
  <Characters>9221</Characters>
  <Lines>76</Lines>
  <Paragraphs>21</Paragraphs>
  <TotalTime>107</TotalTime>
  <ScaleCrop>false</ScaleCrop>
  <LinksUpToDate>false</LinksUpToDate>
  <CharactersWithSpaces>10817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2023-11-07T03:04:00Z</dcterms:created>
  <dc:creator>rfbhfb</dc:creator>
  <cp:lastModifiedBy>大虫的wps</cp:lastModifiedBy>
  <cp:lastPrinted>2023-11-07T03:08:00Z</cp:lastPrinted>
  <dcterms:modified xsi:type="dcterms:W3CDTF">2023-11-08T08:44:06Z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41D8BFC9B3DB4EC599D67216B6C7E353_13</vt:lpwstr>
  </property>
</Properties>
</file>